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9714" w14:textId="77777777" w:rsidR="00122A41" w:rsidRPr="001F4229" w:rsidRDefault="00122A41" w:rsidP="00B96EE6">
      <w:pPr>
        <w:spacing w:after="120"/>
        <w:jc w:val="center"/>
        <w:rPr>
          <w:rFonts w:ascii="Times" w:hAnsi="Times"/>
          <w:b/>
        </w:rPr>
      </w:pPr>
      <w:r w:rsidRPr="001F4229">
        <w:rPr>
          <w:rFonts w:ascii="Times" w:hAnsi="Times"/>
          <w:b/>
        </w:rPr>
        <w:t xml:space="preserve">ONTARIO </w:t>
      </w:r>
    </w:p>
    <w:p w14:paraId="05828A00" w14:textId="77777777" w:rsidR="00122A41" w:rsidRPr="001F4229" w:rsidRDefault="00122A41" w:rsidP="00B96EE6">
      <w:pPr>
        <w:spacing w:after="120"/>
        <w:jc w:val="center"/>
        <w:rPr>
          <w:rFonts w:ascii="Times" w:hAnsi="Times"/>
          <w:b/>
        </w:rPr>
      </w:pPr>
      <w:r w:rsidRPr="001F4229">
        <w:rPr>
          <w:rFonts w:ascii="Times" w:hAnsi="Times"/>
          <w:b/>
        </w:rPr>
        <w:t xml:space="preserve">SUPERIOR COURT OF JUSTICE </w:t>
      </w:r>
    </w:p>
    <w:p w14:paraId="7BF4CA29" w14:textId="77777777" w:rsidR="00122A41" w:rsidRPr="001F4229" w:rsidRDefault="00122A41" w:rsidP="00B96EE6">
      <w:pPr>
        <w:spacing w:after="120"/>
        <w:jc w:val="center"/>
        <w:rPr>
          <w:rFonts w:ascii="Times" w:hAnsi="Times"/>
          <w:b/>
        </w:rPr>
      </w:pPr>
      <w:r w:rsidRPr="001F4229">
        <w:rPr>
          <w:rFonts w:ascii="Times" w:hAnsi="Times"/>
          <w:b/>
        </w:rPr>
        <w:t xml:space="preserve">(Toronto Region) </w:t>
      </w:r>
    </w:p>
    <w:p w14:paraId="78FC8583" w14:textId="77777777" w:rsidR="00122A41" w:rsidRPr="001F4229" w:rsidRDefault="00122A41" w:rsidP="00B96EE6">
      <w:pPr>
        <w:spacing w:after="120"/>
        <w:jc w:val="center"/>
        <w:rPr>
          <w:rFonts w:ascii="Times" w:hAnsi="Times"/>
          <w:b/>
        </w:rPr>
      </w:pPr>
    </w:p>
    <w:p w14:paraId="0A9AE29C" w14:textId="77777777" w:rsidR="00122A41" w:rsidRPr="001F4229" w:rsidRDefault="00122A41" w:rsidP="00B96EE6">
      <w:pPr>
        <w:spacing w:after="120"/>
        <w:rPr>
          <w:rFonts w:ascii="Times" w:hAnsi="Times"/>
          <w:b/>
        </w:rPr>
      </w:pPr>
    </w:p>
    <w:p w14:paraId="53008BAB" w14:textId="5E1BE463" w:rsidR="00122A41" w:rsidRPr="001F4229" w:rsidRDefault="00122A41" w:rsidP="00B96EE6">
      <w:pPr>
        <w:spacing w:after="120"/>
        <w:rPr>
          <w:rFonts w:ascii="Times" w:hAnsi="Times"/>
          <w:b/>
        </w:rPr>
      </w:pPr>
      <w:r w:rsidRPr="001F4229">
        <w:rPr>
          <w:rFonts w:ascii="Times" w:hAnsi="Times"/>
          <w:b/>
        </w:rPr>
        <w:t xml:space="preserve">B E T W E E N: </w:t>
      </w:r>
    </w:p>
    <w:p w14:paraId="252F4490" w14:textId="283D3E33" w:rsidR="00122A41" w:rsidRPr="001F4229" w:rsidRDefault="00122A41" w:rsidP="00B96EE6">
      <w:pPr>
        <w:spacing w:after="120"/>
        <w:jc w:val="center"/>
        <w:rPr>
          <w:rFonts w:ascii="Times" w:hAnsi="Times"/>
          <w:b/>
        </w:rPr>
      </w:pPr>
      <w:r w:rsidRPr="001F4229">
        <w:rPr>
          <w:rFonts w:ascii="Times" w:hAnsi="Times"/>
          <w:b/>
        </w:rPr>
        <w:t xml:space="preserve">HER MAJESTY THE QUEEN </w:t>
      </w:r>
    </w:p>
    <w:p w14:paraId="21660C93" w14:textId="77777777" w:rsidR="00122A41" w:rsidRPr="001F4229" w:rsidRDefault="00122A41" w:rsidP="00B96EE6">
      <w:pPr>
        <w:spacing w:after="120"/>
        <w:jc w:val="center"/>
        <w:rPr>
          <w:rFonts w:ascii="Times" w:hAnsi="Times"/>
          <w:b/>
        </w:rPr>
      </w:pPr>
    </w:p>
    <w:p w14:paraId="5FA8DA73" w14:textId="77777777" w:rsidR="00B96EE6" w:rsidRPr="001F4229" w:rsidRDefault="00B96EE6" w:rsidP="00B96EE6">
      <w:pPr>
        <w:spacing w:after="120"/>
        <w:jc w:val="center"/>
        <w:rPr>
          <w:rFonts w:ascii="Times" w:hAnsi="Times"/>
          <w:b/>
        </w:rPr>
      </w:pPr>
    </w:p>
    <w:p w14:paraId="0C2523F8" w14:textId="5087E7E5" w:rsidR="00122A41" w:rsidRPr="001F4229" w:rsidRDefault="00122A41" w:rsidP="00B96EE6">
      <w:pPr>
        <w:spacing w:after="120"/>
        <w:jc w:val="center"/>
        <w:rPr>
          <w:rFonts w:ascii="Times" w:hAnsi="Times"/>
          <w:b/>
        </w:rPr>
      </w:pPr>
      <w:r w:rsidRPr="001F4229">
        <w:rPr>
          <w:rFonts w:ascii="Times" w:hAnsi="Times"/>
          <w:b/>
        </w:rPr>
        <w:t>-and-</w:t>
      </w:r>
    </w:p>
    <w:p w14:paraId="07E19745" w14:textId="77777777" w:rsidR="00122A41" w:rsidRPr="001F4229" w:rsidRDefault="00122A41" w:rsidP="00B96EE6">
      <w:pPr>
        <w:spacing w:after="120"/>
        <w:jc w:val="center"/>
        <w:rPr>
          <w:rFonts w:ascii="Times" w:hAnsi="Times"/>
          <w:b/>
        </w:rPr>
      </w:pPr>
    </w:p>
    <w:p w14:paraId="6BD14AFC" w14:textId="77777777" w:rsidR="00B96EE6" w:rsidRPr="001F4229" w:rsidRDefault="00B96EE6" w:rsidP="00B96EE6">
      <w:pPr>
        <w:spacing w:after="120"/>
        <w:jc w:val="center"/>
        <w:rPr>
          <w:rFonts w:ascii="Times" w:hAnsi="Times"/>
          <w:b/>
        </w:rPr>
      </w:pPr>
    </w:p>
    <w:p w14:paraId="4871B462" w14:textId="2CC4A8FA" w:rsidR="00B96EE6" w:rsidRPr="001F4229" w:rsidRDefault="00122A41" w:rsidP="00B96EE6">
      <w:pPr>
        <w:spacing w:after="120"/>
        <w:jc w:val="center"/>
        <w:rPr>
          <w:rFonts w:ascii="Times" w:hAnsi="Times"/>
          <w:b/>
        </w:rPr>
      </w:pPr>
      <w:r w:rsidRPr="001F4229">
        <w:rPr>
          <w:rFonts w:ascii="Times" w:hAnsi="Times"/>
          <w:b/>
        </w:rPr>
        <w:t xml:space="preserve">OMAR KALAIR and </w:t>
      </w:r>
      <w:r w:rsidR="004B6035" w:rsidRPr="001F4229">
        <w:rPr>
          <w:rFonts w:ascii="Times" w:hAnsi="Times"/>
          <w:b/>
        </w:rPr>
        <w:t>YUSUF</w:t>
      </w:r>
      <w:r w:rsidRPr="001F4229">
        <w:rPr>
          <w:rFonts w:ascii="Times" w:hAnsi="Times"/>
          <w:b/>
        </w:rPr>
        <w:t xml:space="preserve"> PANCHBHAYA </w:t>
      </w:r>
    </w:p>
    <w:p w14:paraId="1A2A310F" w14:textId="77777777" w:rsidR="00B96EE6" w:rsidRPr="001F4229" w:rsidRDefault="00B96EE6" w:rsidP="00B96EE6">
      <w:pPr>
        <w:spacing w:after="120"/>
        <w:jc w:val="center"/>
        <w:rPr>
          <w:rFonts w:ascii="Times" w:hAnsi="Times"/>
          <w:b/>
        </w:rPr>
      </w:pPr>
    </w:p>
    <w:p w14:paraId="7C318AB0" w14:textId="77777777" w:rsidR="00122A41" w:rsidRPr="001F4229" w:rsidRDefault="00122A41" w:rsidP="00B96EE6">
      <w:pPr>
        <w:spacing w:after="120"/>
        <w:jc w:val="center"/>
        <w:rPr>
          <w:rFonts w:ascii="Times" w:hAnsi="Times"/>
          <w:b/>
        </w:rPr>
      </w:pPr>
      <w:r w:rsidRPr="001F4229">
        <w:rPr>
          <w:rFonts w:ascii="Times" w:hAnsi="Times"/>
          <w:b/>
        </w:rPr>
        <w:t>________________________________________________________</w:t>
      </w:r>
    </w:p>
    <w:p w14:paraId="13A28045" w14:textId="77777777" w:rsidR="00122A41" w:rsidRPr="001F4229" w:rsidRDefault="00122A41" w:rsidP="00B96EE6">
      <w:pPr>
        <w:spacing w:after="120"/>
        <w:jc w:val="center"/>
        <w:rPr>
          <w:rFonts w:ascii="Times" w:hAnsi="Times"/>
          <w:b/>
        </w:rPr>
      </w:pPr>
    </w:p>
    <w:p w14:paraId="5C1F9422" w14:textId="78397EBA" w:rsidR="00122A41" w:rsidRPr="001F4229" w:rsidRDefault="00122A41" w:rsidP="00B96EE6">
      <w:pPr>
        <w:spacing w:after="120"/>
        <w:jc w:val="center"/>
        <w:rPr>
          <w:rFonts w:ascii="Times" w:hAnsi="Times"/>
          <w:b/>
        </w:rPr>
      </w:pPr>
      <w:r w:rsidRPr="001F4229">
        <w:rPr>
          <w:rFonts w:ascii="Times" w:hAnsi="Times"/>
          <w:b/>
        </w:rPr>
        <w:t xml:space="preserve">SUBMISSIONS OF </w:t>
      </w:r>
      <w:r w:rsidR="0004089E">
        <w:rPr>
          <w:rFonts w:ascii="Times" w:hAnsi="Times"/>
          <w:b/>
        </w:rPr>
        <w:t>OMAR KALAIR</w:t>
      </w:r>
    </w:p>
    <w:p w14:paraId="761E0668" w14:textId="4D220139" w:rsidR="00122A41" w:rsidRPr="001F4229" w:rsidRDefault="00122A41" w:rsidP="00B96EE6">
      <w:pPr>
        <w:spacing w:after="120"/>
        <w:jc w:val="center"/>
        <w:rPr>
          <w:rFonts w:ascii="Times" w:hAnsi="Times"/>
          <w:b/>
        </w:rPr>
      </w:pPr>
      <w:r w:rsidRPr="001F4229">
        <w:rPr>
          <w:rFonts w:ascii="Times" w:hAnsi="Times"/>
          <w:b/>
        </w:rPr>
        <w:t>________________________________________________________</w:t>
      </w:r>
    </w:p>
    <w:p w14:paraId="78E8BFB6" w14:textId="77777777" w:rsidR="00122A41" w:rsidRPr="001F4229" w:rsidRDefault="00122A41" w:rsidP="00B96EE6">
      <w:pPr>
        <w:spacing w:after="120"/>
        <w:jc w:val="right"/>
        <w:rPr>
          <w:rFonts w:ascii="Times" w:hAnsi="Times"/>
          <w:b/>
        </w:rPr>
      </w:pPr>
    </w:p>
    <w:p w14:paraId="06F990C3" w14:textId="77777777" w:rsidR="00B96EE6" w:rsidRDefault="00B96EE6" w:rsidP="00B96EE6">
      <w:pPr>
        <w:spacing w:after="120"/>
        <w:ind w:left="4536"/>
        <w:rPr>
          <w:rFonts w:ascii="Times" w:hAnsi="Times"/>
          <w:b/>
        </w:rPr>
      </w:pPr>
    </w:p>
    <w:p w14:paraId="50BF9656" w14:textId="77777777" w:rsidR="0004089E" w:rsidRDefault="0004089E" w:rsidP="00B96EE6">
      <w:pPr>
        <w:spacing w:after="120"/>
        <w:ind w:left="4536"/>
        <w:rPr>
          <w:rFonts w:ascii="Times" w:hAnsi="Times"/>
          <w:b/>
        </w:rPr>
      </w:pPr>
    </w:p>
    <w:p w14:paraId="0D37E8B6" w14:textId="77777777" w:rsidR="00F90AD9" w:rsidRPr="004F13FA" w:rsidRDefault="00F90AD9" w:rsidP="00F90AD9">
      <w:pPr>
        <w:numPr>
          <w:ilvl w:val="12"/>
          <w:numId w:val="0"/>
        </w:numPr>
        <w:tabs>
          <w:tab w:val="left" w:pos="5761"/>
        </w:tabs>
        <w:jc w:val="center"/>
        <w:rPr>
          <w:sz w:val="28"/>
          <w:szCs w:val="28"/>
        </w:rPr>
      </w:pPr>
      <w:r w:rsidRPr="004F13FA">
        <w:rPr>
          <w:b/>
          <w:bCs/>
          <w:sz w:val="28"/>
          <w:szCs w:val="28"/>
        </w:rPr>
        <w:t>BYTENSKY PRUTSCHI SHIKHMAN</w:t>
      </w:r>
    </w:p>
    <w:p w14:paraId="34E7371B" w14:textId="77777777" w:rsidR="00F90AD9" w:rsidRPr="004F13FA" w:rsidRDefault="00F90AD9" w:rsidP="00F90AD9">
      <w:pPr>
        <w:numPr>
          <w:ilvl w:val="12"/>
          <w:numId w:val="0"/>
        </w:numPr>
        <w:tabs>
          <w:tab w:val="left" w:pos="5761"/>
        </w:tabs>
        <w:jc w:val="center"/>
        <w:rPr>
          <w:sz w:val="28"/>
          <w:szCs w:val="28"/>
        </w:rPr>
      </w:pPr>
      <w:r w:rsidRPr="004F13FA">
        <w:rPr>
          <w:sz w:val="28"/>
          <w:szCs w:val="28"/>
        </w:rPr>
        <w:t>Barristers</w:t>
      </w:r>
    </w:p>
    <w:p w14:paraId="2539C800" w14:textId="77777777" w:rsidR="00F90AD9" w:rsidRPr="004F13FA" w:rsidRDefault="00F90AD9" w:rsidP="00F90AD9">
      <w:pPr>
        <w:numPr>
          <w:ilvl w:val="12"/>
          <w:numId w:val="0"/>
        </w:numPr>
        <w:tabs>
          <w:tab w:val="left" w:pos="5761"/>
        </w:tabs>
        <w:jc w:val="center"/>
        <w:rPr>
          <w:sz w:val="28"/>
          <w:szCs w:val="28"/>
        </w:rPr>
      </w:pPr>
      <w:r w:rsidRPr="004F13FA">
        <w:rPr>
          <w:sz w:val="28"/>
          <w:szCs w:val="28"/>
        </w:rPr>
        <w:t>5000 Yonge Street</w:t>
      </w:r>
    </w:p>
    <w:p w14:paraId="34BA5C87" w14:textId="77777777" w:rsidR="00F90AD9" w:rsidRPr="004F13FA" w:rsidRDefault="00F90AD9" w:rsidP="00F90AD9">
      <w:pPr>
        <w:numPr>
          <w:ilvl w:val="12"/>
          <w:numId w:val="0"/>
        </w:numPr>
        <w:tabs>
          <w:tab w:val="left" w:pos="5761"/>
        </w:tabs>
        <w:jc w:val="center"/>
        <w:rPr>
          <w:sz w:val="28"/>
          <w:szCs w:val="28"/>
        </w:rPr>
      </w:pPr>
      <w:r w:rsidRPr="004F13FA">
        <w:rPr>
          <w:sz w:val="28"/>
          <w:szCs w:val="28"/>
        </w:rPr>
        <w:t>Suite 1708</w:t>
      </w:r>
    </w:p>
    <w:p w14:paraId="6C7C672E" w14:textId="77777777" w:rsidR="00F90AD9" w:rsidRPr="004F13FA" w:rsidRDefault="00F90AD9" w:rsidP="00F90AD9">
      <w:pPr>
        <w:numPr>
          <w:ilvl w:val="12"/>
          <w:numId w:val="0"/>
        </w:numPr>
        <w:tabs>
          <w:tab w:val="left" w:pos="5761"/>
        </w:tabs>
        <w:jc w:val="center"/>
        <w:rPr>
          <w:sz w:val="28"/>
          <w:szCs w:val="28"/>
        </w:rPr>
      </w:pPr>
      <w:r w:rsidRPr="004F13FA">
        <w:rPr>
          <w:sz w:val="28"/>
          <w:szCs w:val="28"/>
        </w:rPr>
        <w:t>Toronto, Ontario</w:t>
      </w:r>
    </w:p>
    <w:p w14:paraId="7B8F3C21" w14:textId="77777777" w:rsidR="00F90AD9" w:rsidRPr="004F13FA" w:rsidRDefault="00F90AD9" w:rsidP="00F90AD9">
      <w:pPr>
        <w:numPr>
          <w:ilvl w:val="12"/>
          <w:numId w:val="0"/>
        </w:numPr>
        <w:tabs>
          <w:tab w:val="left" w:pos="5761"/>
        </w:tabs>
        <w:jc w:val="center"/>
        <w:rPr>
          <w:sz w:val="28"/>
          <w:szCs w:val="28"/>
        </w:rPr>
      </w:pPr>
      <w:r w:rsidRPr="004F13FA">
        <w:rPr>
          <w:sz w:val="28"/>
          <w:szCs w:val="28"/>
        </w:rPr>
        <w:t>M2N 7E9</w:t>
      </w:r>
    </w:p>
    <w:p w14:paraId="4102B7E6" w14:textId="77777777" w:rsidR="00F90AD9" w:rsidRPr="004F13FA" w:rsidRDefault="00F90AD9" w:rsidP="00F90AD9">
      <w:pPr>
        <w:numPr>
          <w:ilvl w:val="12"/>
          <w:numId w:val="0"/>
        </w:numPr>
        <w:tabs>
          <w:tab w:val="left" w:pos="5761"/>
        </w:tabs>
        <w:jc w:val="center"/>
        <w:rPr>
          <w:sz w:val="28"/>
          <w:szCs w:val="28"/>
        </w:rPr>
      </w:pPr>
    </w:p>
    <w:p w14:paraId="2055BA6A" w14:textId="77777777" w:rsidR="00F90AD9" w:rsidRPr="004F13FA" w:rsidRDefault="00F90AD9" w:rsidP="00F90AD9">
      <w:pPr>
        <w:numPr>
          <w:ilvl w:val="12"/>
          <w:numId w:val="0"/>
        </w:numPr>
        <w:tabs>
          <w:tab w:val="left" w:pos="5761"/>
        </w:tabs>
        <w:jc w:val="center"/>
        <w:rPr>
          <w:sz w:val="28"/>
          <w:szCs w:val="28"/>
        </w:rPr>
      </w:pPr>
      <w:r w:rsidRPr="004F13FA">
        <w:rPr>
          <w:sz w:val="28"/>
          <w:szCs w:val="28"/>
        </w:rPr>
        <w:t>Tel: (416) 365-1773</w:t>
      </w:r>
    </w:p>
    <w:p w14:paraId="13DD2F68" w14:textId="77777777" w:rsidR="00F90AD9" w:rsidRPr="004F13FA" w:rsidRDefault="00F90AD9" w:rsidP="00F90AD9">
      <w:pPr>
        <w:numPr>
          <w:ilvl w:val="12"/>
          <w:numId w:val="0"/>
        </w:numPr>
        <w:tabs>
          <w:tab w:val="left" w:pos="5761"/>
        </w:tabs>
        <w:jc w:val="center"/>
        <w:rPr>
          <w:sz w:val="28"/>
          <w:szCs w:val="28"/>
        </w:rPr>
      </w:pPr>
      <w:r w:rsidRPr="004F13FA">
        <w:rPr>
          <w:sz w:val="28"/>
          <w:szCs w:val="28"/>
        </w:rPr>
        <w:t>Fax: (416) 365-0866</w:t>
      </w:r>
    </w:p>
    <w:p w14:paraId="2770536B" w14:textId="77777777" w:rsidR="00F90AD9" w:rsidRPr="004F13FA" w:rsidRDefault="00F90AD9" w:rsidP="00F90AD9">
      <w:pPr>
        <w:numPr>
          <w:ilvl w:val="12"/>
          <w:numId w:val="0"/>
        </w:numPr>
        <w:tabs>
          <w:tab w:val="left" w:pos="5761"/>
        </w:tabs>
        <w:jc w:val="center"/>
        <w:rPr>
          <w:sz w:val="28"/>
          <w:szCs w:val="28"/>
        </w:rPr>
      </w:pPr>
    </w:p>
    <w:p w14:paraId="1B3CF0E9" w14:textId="501E52F4" w:rsidR="00F90AD9" w:rsidRDefault="00F90AD9" w:rsidP="00F90AD9">
      <w:pPr>
        <w:numPr>
          <w:ilvl w:val="12"/>
          <w:numId w:val="0"/>
        </w:numPr>
        <w:tabs>
          <w:tab w:val="left" w:pos="5761"/>
        </w:tabs>
        <w:jc w:val="center"/>
        <w:rPr>
          <w:b/>
          <w:bCs/>
          <w:i/>
          <w:sz w:val="28"/>
          <w:szCs w:val="28"/>
        </w:rPr>
      </w:pPr>
      <w:r>
        <w:rPr>
          <w:b/>
          <w:bCs/>
          <w:i/>
          <w:sz w:val="28"/>
          <w:szCs w:val="28"/>
        </w:rPr>
        <w:t>Edward Prutschi</w:t>
      </w:r>
    </w:p>
    <w:p w14:paraId="5BBF2C96" w14:textId="36613A06" w:rsidR="00F90AD9" w:rsidRPr="004F13FA" w:rsidRDefault="00F90AD9" w:rsidP="00F90AD9">
      <w:pPr>
        <w:numPr>
          <w:ilvl w:val="12"/>
          <w:numId w:val="0"/>
        </w:numPr>
        <w:tabs>
          <w:tab w:val="left" w:pos="5761"/>
        </w:tabs>
        <w:jc w:val="center"/>
        <w:rPr>
          <w:b/>
          <w:bCs/>
          <w:i/>
          <w:sz w:val="28"/>
          <w:szCs w:val="28"/>
        </w:rPr>
      </w:pPr>
      <w:r>
        <w:rPr>
          <w:b/>
          <w:bCs/>
          <w:i/>
          <w:sz w:val="28"/>
          <w:szCs w:val="28"/>
        </w:rPr>
        <w:t>Brittany Smith</w:t>
      </w:r>
    </w:p>
    <w:p w14:paraId="0BF2E799" w14:textId="77777777" w:rsidR="00F90AD9" w:rsidRPr="004F13FA" w:rsidRDefault="00F90AD9" w:rsidP="00F90AD9">
      <w:pPr>
        <w:numPr>
          <w:ilvl w:val="12"/>
          <w:numId w:val="0"/>
        </w:numPr>
        <w:tabs>
          <w:tab w:val="left" w:pos="5761"/>
        </w:tabs>
        <w:jc w:val="center"/>
        <w:rPr>
          <w:sz w:val="28"/>
          <w:szCs w:val="28"/>
        </w:rPr>
      </w:pPr>
      <w:r w:rsidRPr="004F13FA">
        <w:rPr>
          <w:sz w:val="28"/>
          <w:szCs w:val="28"/>
        </w:rPr>
        <w:t>Counsel for the Applicant</w:t>
      </w:r>
    </w:p>
    <w:p w14:paraId="1560E672" w14:textId="77777777" w:rsidR="00122A41" w:rsidRDefault="00122A41" w:rsidP="00B96EE6">
      <w:pPr>
        <w:spacing w:after="120"/>
        <w:rPr>
          <w:sz w:val="28"/>
          <w:szCs w:val="28"/>
        </w:rPr>
      </w:pPr>
    </w:p>
    <w:p w14:paraId="47C1D70F" w14:textId="77777777" w:rsidR="00F90AD9" w:rsidRPr="001F4229" w:rsidRDefault="00F90AD9" w:rsidP="00B96EE6">
      <w:pPr>
        <w:spacing w:after="120"/>
        <w:rPr>
          <w:rFonts w:ascii="Times" w:hAnsi="Times"/>
          <w:b/>
        </w:rPr>
      </w:pPr>
    </w:p>
    <w:sdt>
      <w:sdtPr>
        <w:rPr>
          <w:rFonts w:asciiTheme="minorHAnsi" w:eastAsiaTheme="minorEastAsia" w:hAnsiTheme="minorHAnsi" w:cstheme="minorBidi"/>
          <w:b w:val="0"/>
          <w:bCs w:val="0"/>
          <w:color w:val="auto"/>
          <w:sz w:val="32"/>
          <w:szCs w:val="32"/>
          <w:lang w:val="en-CA"/>
        </w:rPr>
        <w:id w:val="942575335"/>
        <w:docPartObj>
          <w:docPartGallery w:val="Table of Contents"/>
          <w:docPartUnique/>
        </w:docPartObj>
      </w:sdtPr>
      <w:sdtEndPr>
        <w:rPr>
          <w:noProof/>
        </w:rPr>
      </w:sdtEndPr>
      <w:sdtContent>
        <w:p w14:paraId="7C5627B2" w14:textId="5FE9816F" w:rsidR="00F90AD9" w:rsidRPr="00F90AD9" w:rsidRDefault="00F90AD9">
          <w:pPr>
            <w:pStyle w:val="TOCHeading"/>
            <w:rPr>
              <w:rFonts w:ascii="Times Roman" w:hAnsi="Times Roman"/>
              <w:color w:val="auto"/>
              <w:sz w:val="36"/>
              <w:szCs w:val="36"/>
            </w:rPr>
          </w:pPr>
          <w:r w:rsidRPr="00F90AD9">
            <w:rPr>
              <w:rFonts w:ascii="Times Roman" w:hAnsi="Times Roman"/>
              <w:color w:val="auto"/>
              <w:sz w:val="36"/>
              <w:szCs w:val="36"/>
            </w:rPr>
            <w:t>Table of Contents</w:t>
          </w:r>
        </w:p>
        <w:p w14:paraId="0171CDAE" w14:textId="77777777" w:rsidR="00C308B3" w:rsidRDefault="001462D0">
          <w:pPr>
            <w:pStyle w:val="TOC1"/>
            <w:tabs>
              <w:tab w:val="right" w:leader="dot" w:pos="8630"/>
            </w:tabs>
            <w:rPr>
              <w:b w:val="0"/>
              <w:caps w:val="0"/>
              <w:noProof/>
              <w:sz w:val="24"/>
              <w:szCs w:val="24"/>
              <w:lang w:val="en-GB" w:eastAsia="ja-JP"/>
            </w:rPr>
          </w:pPr>
          <w:r>
            <w:rPr>
              <w:caps w:val="0"/>
              <w:sz w:val="32"/>
              <w:szCs w:val="32"/>
            </w:rPr>
            <w:fldChar w:fldCharType="begin"/>
          </w:r>
          <w:r>
            <w:rPr>
              <w:caps w:val="0"/>
              <w:sz w:val="32"/>
              <w:szCs w:val="32"/>
            </w:rPr>
            <w:instrText xml:space="preserve"> TOC \o "1-4" </w:instrText>
          </w:r>
          <w:r>
            <w:rPr>
              <w:caps w:val="0"/>
              <w:sz w:val="32"/>
              <w:szCs w:val="32"/>
            </w:rPr>
            <w:fldChar w:fldCharType="separate"/>
          </w:r>
          <w:r w:rsidR="00C308B3" w:rsidRPr="00997549">
            <w:rPr>
              <w:rFonts w:ascii="Times" w:hAnsi="Times"/>
              <w:noProof/>
            </w:rPr>
            <w:t>I. Introduction &amp; Overview</w:t>
          </w:r>
          <w:r w:rsidR="00C308B3">
            <w:rPr>
              <w:noProof/>
            </w:rPr>
            <w:tab/>
          </w:r>
          <w:r w:rsidR="00C308B3">
            <w:rPr>
              <w:noProof/>
            </w:rPr>
            <w:fldChar w:fldCharType="begin"/>
          </w:r>
          <w:r w:rsidR="00C308B3">
            <w:rPr>
              <w:noProof/>
            </w:rPr>
            <w:instrText xml:space="preserve"> PAGEREF _Toc411860377 \h </w:instrText>
          </w:r>
          <w:r w:rsidR="00C308B3">
            <w:rPr>
              <w:noProof/>
            </w:rPr>
          </w:r>
          <w:r w:rsidR="00C308B3">
            <w:rPr>
              <w:noProof/>
            </w:rPr>
            <w:fldChar w:fldCharType="separate"/>
          </w:r>
          <w:r w:rsidR="00C308B3">
            <w:rPr>
              <w:noProof/>
            </w:rPr>
            <w:t>2</w:t>
          </w:r>
          <w:r w:rsidR="00C308B3">
            <w:rPr>
              <w:noProof/>
            </w:rPr>
            <w:fldChar w:fldCharType="end"/>
          </w:r>
        </w:p>
        <w:p w14:paraId="05EC3AE5" w14:textId="77777777" w:rsidR="00C308B3" w:rsidRDefault="00C308B3">
          <w:pPr>
            <w:pStyle w:val="TOC1"/>
            <w:tabs>
              <w:tab w:val="right" w:leader="dot" w:pos="8630"/>
            </w:tabs>
            <w:rPr>
              <w:b w:val="0"/>
              <w:caps w:val="0"/>
              <w:noProof/>
              <w:sz w:val="24"/>
              <w:szCs w:val="24"/>
              <w:lang w:val="en-GB" w:eastAsia="ja-JP"/>
            </w:rPr>
          </w:pPr>
          <w:r w:rsidRPr="00997549">
            <w:rPr>
              <w:rFonts w:ascii="Times" w:hAnsi="Times"/>
              <w:noProof/>
            </w:rPr>
            <w:t>II. Position of the Defence</w:t>
          </w:r>
          <w:r>
            <w:rPr>
              <w:noProof/>
            </w:rPr>
            <w:tab/>
          </w:r>
          <w:r>
            <w:rPr>
              <w:noProof/>
            </w:rPr>
            <w:fldChar w:fldCharType="begin"/>
          </w:r>
          <w:r>
            <w:rPr>
              <w:noProof/>
            </w:rPr>
            <w:instrText xml:space="preserve"> PAGEREF _Toc411860378 \h </w:instrText>
          </w:r>
          <w:r>
            <w:rPr>
              <w:noProof/>
            </w:rPr>
          </w:r>
          <w:r>
            <w:rPr>
              <w:noProof/>
            </w:rPr>
            <w:fldChar w:fldCharType="separate"/>
          </w:r>
          <w:r>
            <w:rPr>
              <w:noProof/>
            </w:rPr>
            <w:t>7</w:t>
          </w:r>
          <w:r>
            <w:rPr>
              <w:noProof/>
            </w:rPr>
            <w:fldChar w:fldCharType="end"/>
          </w:r>
        </w:p>
        <w:p w14:paraId="529C1CE3" w14:textId="77777777" w:rsidR="00C308B3" w:rsidRDefault="00C308B3">
          <w:pPr>
            <w:pStyle w:val="TOC2"/>
            <w:tabs>
              <w:tab w:val="right" w:leader="dot" w:pos="8630"/>
            </w:tabs>
            <w:rPr>
              <w:smallCaps w:val="0"/>
              <w:noProof/>
              <w:sz w:val="24"/>
              <w:szCs w:val="24"/>
              <w:lang w:val="en-GB" w:eastAsia="ja-JP"/>
            </w:rPr>
          </w:pPr>
          <w:r w:rsidRPr="00997549">
            <w:rPr>
              <w:noProof/>
            </w:rPr>
            <w:t>The Charges</w:t>
          </w:r>
          <w:r>
            <w:rPr>
              <w:noProof/>
            </w:rPr>
            <w:tab/>
          </w:r>
          <w:r>
            <w:rPr>
              <w:noProof/>
            </w:rPr>
            <w:fldChar w:fldCharType="begin"/>
          </w:r>
          <w:r>
            <w:rPr>
              <w:noProof/>
            </w:rPr>
            <w:instrText xml:space="preserve"> PAGEREF _Toc411860379 \h </w:instrText>
          </w:r>
          <w:r>
            <w:rPr>
              <w:noProof/>
            </w:rPr>
          </w:r>
          <w:r>
            <w:rPr>
              <w:noProof/>
            </w:rPr>
            <w:fldChar w:fldCharType="separate"/>
          </w:r>
          <w:r>
            <w:rPr>
              <w:noProof/>
            </w:rPr>
            <w:t>7</w:t>
          </w:r>
          <w:r>
            <w:rPr>
              <w:noProof/>
            </w:rPr>
            <w:fldChar w:fldCharType="end"/>
          </w:r>
        </w:p>
        <w:p w14:paraId="4A0D108E" w14:textId="77777777" w:rsidR="00C308B3" w:rsidRDefault="00C308B3">
          <w:pPr>
            <w:pStyle w:val="TOC1"/>
            <w:tabs>
              <w:tab w:val="right" w:leader="dot" w:pos="8630"/>
            </w:tabs>
            <w:rPr>
              <w:b w:val="0"/>
              <w:caps w:val="0"/>
              <w:noProof/>
              <w:sz w:val="24"/>
              <w:szCs w:val="24"/>
              <w:lang w:val="en-GB" w:eastAsia="ja-JP"/>
            </w:rPr>
          </w:pPr>
          <w:r w:rsidRPr="00997549">
            <w:rPr>
              <w:rFonts w:ascii="Times" w:hAnsi="Times"/>
              <w:noProof/>
            </w:rPr>
            <w:t>III. The Law</w:t>
          </w:r>
          <w:r>
            <w:rPr>
              <w:noProof/>
            </w:rPr>
            <w:tab/>
          </w:r>
          <w:r>
            <w:rPr>
              <w:noProof/>
            </w:rPr>
            <w:fldChar w:fldCharType="begin"/>
          </w:r>
          <w:r>
            <w:rPr>
              <w:noProof/>
            </w:rPr>
            <w:instrText xml:space="preserve"> PAGEREF _Toc411860380 \h </w:instrText>
          </w:r>
          <w:r>
            <w:rPr>
              <w:noProof/>
            </w:rPr>
          </w:r>
          <w:r>
            <w:rPr>
              <w:noProof/>
            </w:rPr>
            <w:fldChar w:fldCharType="separate"/>
          </w:r>
          <w:r>
            <w:rPr>
              <w:noProof/>
            </w:rPr>
            <w:t>9</w:t>
          </w:r>
          <w:r>
            <w:rPr>
              <w:noProof/>
            </w:rPr>
            <w:fldChar w:fldCharType="end"/>
          </w:r>
        </w:p>
        <w:p w14:paraId="7240FB3D" w14:textId="77777777" w:rsidR="00C308B3" w:rsidRDefault="00C308B3">
          <w:pPr>
            <w:pStyle w:val="TOC2"/>
            <w:tabs>
              <w:tab w:val="right" w:leader="dot" w:pos="8630"/>
            </w:tabs>
            <w:rPr>
              <w:smallCaps w:val="0"/>
              <w:noProof/>
              <w:sz w:val="24"/>
              <w:szCs w:val="24"/>
              <w:lang w:val="en-GB" w:eastAsia="ja-JP"/>
            </w:rPr>
          </w:pPr>
          <w:r>
            <w:rPr>
              <w:noProof/>
            </w:rPr>
            <w:t>THEFT, FRAUD &amp; MONEY LAUNDERING</w:t>
          </w:r>
          <w:r>
            <w:rPr>
              <w:noProof/>
            </w:rPr>
            <w:tab/>
          </w:r>
          <w:r>
            <w:rPr>
              <w:noProof/>
            </w:rPr>
            <w:fldChar w:fldCharType="begin"/>
          </w:r>
          <w:r>
            <w:rPr>
              <w:noProof/>
            </w:rPr>
            <w:instrText xml:space="preserve"> PAGEREF _Toc411860381 \h </w:instrText>
          </w:r>
          <w:r>
            <w:rPr>
              <w:noProof/>
            </w:rPr>
          </w:r>
          <w:r>
            <w:rPr>
              <w:noProof/>
            </w:rPr>
            <w:fldChar w:fldCharType="separate"/>
          </w:r>
          <w:r>
            <w:rPr>
              <w:noProof/>
            </w:rPr>
            <w:t>9</w:t>
          </w:r>
          <w:r>
            <w:rPr>
              <w:noProof/>
            </w:rPr>
            <w:fldChar w:fldCharType="end"/>
          </w:r>
        </w:p>
        <w:p w14:paraId="41F34354" w14:textId="77777777" w:rsidR="00C308B3" w:rsidRDefault="00C308B3">
          <w:pPr>
            <w:pStyle w:val="TOC3"/>
            <w:tabs>
              <w:tab w:val="right" w:leader="dot" w:pos="8630"/>
            </w:tabs>
            <w:rPr>
              <w:i w:val="0"/>
              <w:noProof/>
              <w:sz w:val="24"/>
              <w:szCs w:val="24"/>
              <w:lang w:val="en-GB" w:eastAsia="ja-JP"/>
            </w:rPr>
          </w:pPr>
          <w:r w:rsidRPr="00997549">
            <w:rPr>
              <w:noProof/>
            </w:rPr>
            <w:t>The Actus Reus</w:t>
          </w:r>
          <w:r>
            <w:rPr>
              <w:noProof/>
            </w:rPr>
            <w:tab/>
          </w:r>
          <w:r>
            <w:rPr>
              <w:noProof/>
            </w:rPr>
            <w:fldChar w:fldCharType="begin"/>
          </w:r>
          <w:r>
            <w:rPr>
              <w:noProof/>
            </w:rPr>
            <w:instrText xml:space="preserve"> PAGEREF _Toc411860382 \h </w:instrText>
          </w:r>
          <w:r>
            <w:rPr>
              <w:noProof/>
            </w:rPr>
          </w:r>
          <w:r>
            <w:rPr>
              <w:noProof/>
            </w:rPr>
            <w:fldChar w:fldCharType="separate"/>
          </w:r>
          <w:r>
            <w:rPr>
              <w:noProof/>
            </w:rPr>
            <w:t>9</w:t>
          </w:r>
          <w:r>
            <w:rPr>
              <w:noProof/>
            </w:rPr>
            <w:fldChar w:fldCharType="end"/>
          </w:r>
        </w:p>
        <w:p w14:paraId="2C6AC436" w14:textId="77777777" w:rsidR="00C308B3" w:rsidRDefault="00C308B3">
          <w:pPr>
            <w:pStyle w:val="TOC3"/>
            <w:tabs>
              <w:tab w:val="right" w:leader="dot" w:pos="8630"/>
            </w:tabs>
            <w:rPr>
              <w:i w:val="0"/>
              <w:noProof/>
              <w:sz w:val="24"/>
              <w:szCs w:val="24"/>
              <w:lang w:val="en-GB" w:eastAsia="ja-JP"/>
            </w:rPr>
          </w:pPr>
          <w:r w:rsidRPr="00997549">
            <w:rPr>
              <w:noProof/>
            </w:rPr>
            <w:t>Mens Rea</w:t>
          </w:r>
          <w:r>
            <w:rPr>
              <w:noProof/>
            </w:rPr>
            <w:tab/>
          </w:r>
          <w:r>
            <w:rPr>
              <w:noProof/>
            </w:rPr>
            <w:fldChar w:fldCharType="begin"/>
          </w:r>
          <w:r>
            <w:rPr>
              <w:noProof/>
            </w:rPr>
            <w:instrText xml:space="preserve"> PAGEREF _Toc411860383 \h </w:instrText>
          </w:r>
          <w:r>
            <w:rPr>
              <w:noProof/>
            </w:rPr>
          </w:r>
          <w:r>
            <w:rPr>
              <w:noProof/>
            </w:rPr>
            <w:fldChar w:fldCharType="separate"/>
          </w:r>
          <w:r>
            <w:rPr>
              <w:noProof/>
            </w:rPr>
            <w:t>11</w:t>
          </w:r>
          <w:r>
            <w:rPr>
              <w:noProof/>
            </w:rPr>
            <w:fldChar w:fldCharType="end"/>
          </w:r>
        </w:p>
        <w:p w14:paraId="16F6052A" w14:textId="77777777" w:rsidR="00C308B3" w:rsidRDefault="00C308B3">
          <w:pPr>
            <w:pStyle w:val="TOC1"/>
            <w:tabs>
              <w:tab w:val="right" w:leader="dot" w:pos="8630"/>
            </w:tabs>
            <w:rPr>
              <w:b w:val="0"/>
              <w:caps w:val="0"/>
              <w:noProof/>
              <w:sz w:val="24"/>
              <w:szCs w:val="24"/>
              <w:lang w:val="en-GB" w:eastAsia="ja-JP"/>
            </w:rPr>
          </w:pPr>
          <w:r w:rsidRPr="00997549">
            <w:rPr>
              <w:rFonts w:ascii="Times" w:hAnsi="Times" w:cs="Times"/>
              <w:noProof/>
            </w:rPr>
            <w:t>Admissibility of Expert Evidence</w:t>
          </w:r>
          <w:r>
            <w:rPr>
              <w:noProof/>
            </w:rPr>
            <w:tab/>
          </w:r>
          <w:r>
            <w:rPr>
              <w:noProof/>
            </w:rPr>
            <w:fldChar w:fldCharType="begin"/>
          </w:r>
          <w:r>
            <w:rPr>
              <w:noProof/>
            </w:rPr>
            <w:instrText xml:space="preserve"> PAGEREF _Toc411860384 \h </w:instrText>
          </w:r>
          <w:r>
            <w:rPr>
              <w:noProof/>
            </w:rPr>
          </w:r>
          <w:r>
            <w:rPr>
              <w:noProof/>
            </w:rPr>
            <w:fldChar w:fldCharType="separate"/>
          </w:r>
          <w:r>
            <w:rPr>
              <w:noProof/>
            </w:rPr>
            <w:t>17</w:t>
          </w:r>
          <w:r>
            <w:rPr>
              <w:noProof/>
            </w:rPr>
            <w:fldChar w:fldCharType="end"/>
          </w:r>
        </w:p>
        <w:p w14:paraId="7730E2EA" w14:textId="77777777" w:rsidR="00C308B3" w:rsidRDefault="00C308B3">
          <w:pPr>
            <w:pStyle w:val="TOC2"/>
            <w:tabs>
              <w:tab w:val="left" w:pos="595"/>
              <w:tab w:val="right" w:leader="dot" w:pos="8630"/>
            </w:tabs>
            <w:rPr>
              <w:smallCaps w:val="0"/>
              <w:noProof/>
              <w:sz w:val="24"/>
              <w:szCs w:val="24"/>
              <w:lang w:val="en-GB" w:eastAsia="ja-JP"/>
            </w:rPr>
          </w:pPr>
          <w:r w:rsidRPr="00997549">
            <w:rPr>
              <w:rFonts w:ascii="Times Roman" w:hAnsi="Times Roman"/>
              <w:noProof/>
            </w:rPr>
            <w:t>i.</w:t>
          </w:r>
          <w:r>
            <w:rPr>
              <w:smallCaps w:val="0"/>
              <w:noProof/>
              <w:sz w:val="24"/>
              <w:szCs w:val="24"/>
              <w:lang w:val="en-GB" w:eastAsia="ja-JP"/>
            </w:rPr>
            <w:tab/>
          </w:r>
          <w:r w:rsidRPr="00997549">
            <w:rPr>
              <w:rFonts w:ascii="Times Roman" w:hAnsi="Times Roman"/>
              <w:noProof/>
            </w:rPr>
            <w:t>Testimony of Abdulkader Thomas</w:t>
          </w:r>
          <w:r>
            <w:rPr>
              <w:noProof/>
            </w:rPr>
            <w:tab/>
          </w:r>
          <w:r>
            <w:rPr>
              <w:noProof/>
            </w:rPr>
            <w:fldChar w:fldCharType="begin"/>
          </w:r>
          <w:r>
            <w:rPr>
              <w:noProof/>
            </w:rPr>
            <w:instrText xml:space="preserve"> PAGEREF _Toc411860385 \h </w:instrText>
          </w:r>
          <w:r>
            <w:rPr>
              <w:noProof/>
            </w:rPr>
          </w:r>
          <w:r>
            <w:rPr>
              <w:noProof/>
            </w:rPr>
            <w:fldChar w:fldCharType="separate"/>
          </w:r>
          <w:r>
            <w:rPr>
              <w:noProof/>
            </w:rPr>
            <w:t>17</w:t>
          </w:r>
          <w:r>
            <w:rPr>
              <w:noProof/>
            </w:rPr>
            <w:fldChar w:fldCharType="end"/>
          </w:r>
        </w:p>
        <w:p w14:paraId="297E0FDD" w14:textId="77777777" w:rsidR="00C308B3" w:rsidRDefault="00C308B3">
          <w:pPr>
            <w:pStyle w:val="TOC3"/>
            <w:tabs>
              <w:tab w:val="right" w:leader="dot" w:pos="8630"/>
            </w:tabs>
            <w:rPr>
              <w:i w:val="0"/>
              <w:noProof/>
              <w:sz w:val="24"/>
              <w:szCs w:val="24"/>
              <w:lang w:val="en-GB" w:eastAsia="ja-JP"/>
            </w:rPr>
          </w:pPr>
          <w:r w:rsidRPr="00997549">
            <w:rPr>
              <w:noProof/>
              <w:lang w:val="en-GB"/>
            </w:rPr>
            <w:t>Qualifications</w:t>
          </w:r>
          <w:r>
            <w:rPr>
              <w:noProof/>
            </w:rPr>
            <w:tab/>
          </w:r>
          <w:r>
            <w:rPr>
              <w:noProof/>
            </w:rPr>
            <w:fldChar w:fldCharType="begin"/>
          </w:r>
          <w:r>
            <w:rPr>
              <w:noProof/>
            </w:rPr>
            <w:instrText xml:space="preserve"> PAGEREF _Toc411860386 \h </w:instrText>
          </w:r>
          <w:r>
            <w:rPr>
              <w:noProof/>
            </w:rPr>
          </w:r>
          <w:r>
            <w:rPr>
              <w:noProof/>
            </w:rPr>
            <w:fldChar w:fldCharType="separate"/>
          </w:r>
          <w:r>
            <w:rPr>
              <w:noProof/>
            </w:rPr>
            <w:t>19</w:t>
          </w:r>
          <w:r>
            <w:rPr>
              <w:noProof/>
            </w:rPr>
            <w:fldChar w:fldCharType="end"/>
          </w:r>
        </w:p>
        <w:p w14:paraId="643357A4" w14:textId="77777777" w:rsidR="00C308B3" w:rsidRDefault="00C308B3">
          <w:pPr>
            <w:pStyle w:val="TOC3"/>
            <w:tabs>
              <w:tab w:val="right" w:leader="dot" w:pos="8630"/>
            </w:tabs>
            <w:rPr>
              <w:i w:val="0"/>
              <w:noProof/>
              <w:sz w:val="24"/>
              <w:szCs w:val="24"/>
              <w:lang w:val="en-GB" w:eastAsia="ja-JP"/>
            </w:rPr>
          </w:pPr>
          <w:r w:rsidRPr="00997549">
            <w:rPr>
              <w:noProof/>
              <w:lang w:val="en-GB"/>
            </w:rPr>
            <w:t>Documents Reviewed</w:t>
          </w:r>
          <w:r>
            <w:rPr>
              <w:noProof/>
            </w:rPr>
            <w:tab/>
          </w:r>
          <w:r>
            <w:rPr>
              <w:noProof/>
            </w:rPr>
            <w:fldChar w:fldCharType="begin"/>
          </w:r>
          <w:r>
            <w:rPr>
              <w:noProof/>
            </w:rPr>
            <w:instrText xml:space="preserve"> PAGEREF _Toc411860387 \h </w:instrText>
          </w:r>
          <w:r>
            <w:rPr>
              <w:noProof/>
            </w:rPr>
          </w:r>
          <w:r>
            <w:rPr>
              <w:noProof/>
            </w:rPr>
            <w:fldChar w:fldCharType="separate"/>
          </w:r>
          <w:r>
            <w:rPr>
              <w:noProof/>
            </w:rPr>
            <w:t>20</w:t>
          </w:r>
          <w:r>
            <w:rPr>
              <w:noProof/>
            </w:rPr>
            <w:fldChar w:fldCharType="end"/>
          </w:r>
        </w:p>
        <w:p w14:paraId="20B61DEC" w14:textId="77777777" w:rsidR="00C308B3" w:rsidRDefault="00C308B3">
          <w:pPr>
            <w:pStyle w:val="TOC2"/>
            <w:tabs>
              <w:tab w:val="left" w:pos="655"/>
              <w:tab w:val="right" w:leader="dot" w:pos="8630"/>
            </w:tabs>
            <w:rPr>
              <w:smallCaps w:val="0"/>
              <w:noProof/>
              <w:sz w:val="24"/>
              <w:szCs w:val="24"/>
              <w:lang w:val="en-GB" w:eastAsia="ja-JP"/>
            </w:rPr>
          </w:pPr>
          <w:r w:rsidRPr="00997549">
            <w:rPr>
              <w:rFonts w:ascii="Times Roman" w:hAnsi="Times Roman"/>
              <w:noProof/>
            </w:rPr>
            <w:t>ii.</w:t>
          </w:r>
          <w:r>
            <w:rPr>
              <w:smallCaps w:val="0"/>
              <w:noProof/>
              <w:sz w:val="24"/>
              <w:szCs w:val="24"/>
              <w:lang w:val="en-GB" w:eastAsia="ja-JP"/>
            </w:rPr>
            <w:tab/>
          </w:r>
          <w:r w:rsidRPr="00997549">
            <w:rPr>
              <w:rFonts w:ascii="Times Roman" w:hAnsi="Times Roman"/>
              <w:noProof/>
            </w:rPr>
            <w:t>Testimony of Shazhad Siddiqui</w:t>
          </w:r>
          <w:r>
            <w:rPr>
              <w:noProof/>
            </w:rPr>
            <w:tab/>
          </w:r>
          <w:r>
            <w:rPr>
              <w:noProof/>
            </w:rPr>
            <w:fldChar w:fldCharType="begin"/>
          </w:r>
          <w:r>
            <w:rPr>
              <w:noProof/>
            </w:rPr>
            <w:instrText xml:space="preserve"> PAGEREF _Toc411860388 \h </w:instrText>
          </w:r>
          <w:r>
            <w:rPr>
              <w:noProof/>
            </w:rPr>
          </w:r>
          <w:r>
            <w:rPr>
              <w:noProof/>
            </w:rPr>
            <w:fldChar w:fldCharType="separate"/>
          </w:r>
          <w:r>
            <w:rPr>
              <w:noProof/>
            </w:rPr>
            <w:t>20</w:t>
          </w:r>
          <w:r>
            <w:rPr>
              <w:noProof/>
            </w:rPr>
            <w:fldChar w:fldCharType="end"/>
          </w:r>
        </w:p>
        <w:p w14:paraId="05A6BD6E" w14:textId="77777777" w:rsidR="00C308B3" w:rsidRDefault="00C308B3">
          <w:pPr>
            <w:pStyle w:val="TOC2"/>
            <w:tabs>
              <w:tab w:val="left" w:pos="715"/>
              <w:tab w:val="right" w:leader="dot" w:pos="8630"/>
            </w:tabs>
            <w:rPr>
              <w:smallCaps w:val="0"/>
              <w:noProof/>
              <w:sz w:val="24"/>
              <w:szCs w:val="24"/>
              <w:lang w:val="en-GB" w:eastAsia="ja-JP"/>
            </w:rPr>
          </w:pPr>
          <w:r w:rsidRPr="00997549">
            <w:rPr>
              <w:rFonts w:ascii="Times Roman" w:hAnsi="Times Roman"/>
              <w:noProof/>
              <w:lang w:val="en-GB"/>
            </w:rPr>
            <w:t>iii.</w:t>
          </w:r>
          <w:r>
            <w:rPr>
              <w:smallCaps w:val="0"/>
              <w:noProof/>
              <w:sz w:val="24"/>
              <w:szCs w:val="24"/>
              <w:lang w:val="en-GB" w:eastAsia="ja-JP"/>
            </w:rPr>
            <w:tab/>
          </w:r>
          <w:r w:rsidRPr="00997549">
            <w:rPr>
              <w:rFonts w:ascii="Times Roman" w:hAnsi="Times Roman"/>
              <w:noProof/>
              <w:lang w:val="en-GB"/>
            </w:rPr>
            <w:t>Testimony of Sergeant Scott</w:t>
          </w:r>
          <w:r>
            <w:rPr>
              <w:noProof/>
            </w:rPr>
            <w:tab/>
          </w:r>
          <w:r>
            <w:rPr>
              <w:noProof/>
            </w:rPr>
            <w:fldChar w:fldCharType="begin"/>
          </w:r>
          <w:r>
            <w:rPr>
              <w:noProof/>
            </w:rPr>
            <w:instrText xml:space="preserve"> PAGEREF _Toc411860389 \h </w:instrText>
          </w:r>
          <w:r>
            <w:rPr>
              <w:noProof/>
            </w:rPr>
          </w:r>
          <w:r>
            <w:rPr>
              <w:noProof/>
            </w:rPr>
            <w:fldChar w:fldCharType="separate"/>
          </w:r>
          <w:r>
            <w:rPr>
              <w:noProof/>
            </w:rPr>
            <w:t>21</w:t>
          </w:r>
          <w:r>
            <w:rPr>
              <w:noProof/>
            </w:rPr>
            <w:fldChar w:fldCharType="end"/>
          </w:r>
        </w:p>
        <w:p w14:paraId="68BDDE81" w14:textId="77777777" w:rsidR="00C308B3" w:rsidRDefault="00C308B3">
          <w:pPr>
            <w:pStyle w:val="TOC1"/>
            <w:tabs>
              <w:tab w:val="right" w:leader="dot" w:pos="8630"/>
            </w:tabs>
            <w:rPr>
              <w:b w:val="0"/>
              <w:caps w:val="0"/>
              <w:noProof/>
              <w:sz w:val="24"/>
              <w:szCs w:val="24"/>
              <w:lang w:val="en-GB" w:eastAsia="ja-JP"/>
            </w:rPr>
          </w:pPr>
          <w:r w:rsidRPr="00997549">
            <w:rPr>
              <w:rFonts w:ascii="Times" w:hAnsi="Times"/>
              <w:noProof/>
            </w:rPr>
            <w:t>V. Summary of the Facts</w:t>
          </w:r>
          <w:r>
            <w:rPr>
              <w:noProof/>
            </w:rPr>
            <w:tab/>
          </w:r>
          <w:r>
            <w:rPr>
              <w:noProof/>
            </w:rPr>
            <w:fldChar w:fldCharType="begin"/>
          </w:r>
          <w:r>
            <w:rPr>
              <w:noProof/>
            </w:rPr>
            <w:instrText xml:space="preserve"> PAGEREF _Toc411860390 \h </w:instrText>
          </w:r>
          <w:r>
            <w:rPr>
              <w:noProof/>
            </w:rPr>
          </w:r>
          <w:r>
            <w:rPr>
              <w:noProof/>
            </w:rPr>
            <w:fldChar w:fldCharType="separate"/>
          </w:r>
          <w:r>
            <w:rPr>
              <w:noProof/>
            </w:rPr>
            <w:t>25</w:t>
          </w:r>
          <w:r>
            <w:rPr>
              <w:noProof/>
            </w:rPr>
            <w:fldChar w:fldCharType="end"/>
          </w:r>
        </w:p>
        <w:p w14:paraId="570DE7E2" w14:textId="77777777" w:rsidR="00C308B3" w:rsidRDefault="00C308B3">
          <w:pPr>
            <w:pStyle w:val="TOC2"/>
            <w:tabs>
              <w:tab w:val="right" w:leader="dot" w:pos="8630"/>
            </w:tabs>
            <w:rPr>
              <w:smallCaps w:val="0"/>
              <w:noProof/>
              <w:sz w:val="24"/>
              <w:szCs w:val="24"/>
              <w:lang w:val="en-GB" w:eastAsia="ja-JP"/>
            </w:rPr>
          </w:pPr>
          <w:r>
            <w:rPr>
              <w:noProof/>
            </w:rPr>
            <w:t>Crown Evidence</w:t>
          </w:r>
          <w:r>
            <w:rPr>
              <w:noProof/>
            </w:rPr>
            <w:tab/>
          </w:r>
          <w:r>
            <w:rPr>
              <w:noProof/>
            </w:rPr>
            <w:fldChar w:fldCharType="begin"/>
          </w:r>
          <w:r>
            <w:rPr>
              <w:noProof/>
            </w:rPr>
            <w:instrText xml:space="preserve"> PAGEREF _Toc411860391 \h </w:instrText>
          </w:r>
          <w:r>
            <w:rPr>
              <w:noProof/>
            </w:rPr>
          </w:r>
          <w:r>
            <w:rPr>
              <w:noProof/>
            </w:rPr>
            <w:fldChar w:fldCharType="separate"/>
          </w:r>
          <w:r>
            <w:rPr>
              <w:noProof/>
            </w:rPr>
            <w:t>25</w:t>
          </w:r>
          <w:r>
            <w:rPr>
              <w:noProof/>
            </w:rPr>
            <w:fldChar w:fldCharType="end"/>
          </w:r>
        </w:p>
        <w:p w14:paraId="4B85ADF4" w14:textId="77777777" w:rsidR="00C308B3" w:rsidRDefault="00C308B3">
          <w:pPr>
            <w:pStyle w:val="TOC3"/>
            <w:tabs>
              <w:tab w:val="left" w:pos="823"/>
              <w:tab w:val="right" w:leader="dot" w:pos="8630"/>
            </w:tabs>
            <w:rPr>
              <w:i w:val="0"/>
              <w:noProof/>
              <w:sz w:val="24"/>
              <w:szCs w:val="24"/>
              <w:lang w:val="en-GB" w:eastAsia="ja-JP"/>
            </w:rPr>
          </w:pPr>
          <w:r w:rsidRPr="00997549">
            <w:rPr>
              <w:rFonts w:cs="Times"/>
              <w:noProof/>
            </w:rPr>
            <w:t>i.</w:t>
          </w:r>
          <w:r>
            <w:rPr>
              <w:i w:val="0"/>
              <w:noProof/>
              <w:sz w:val="24"/>
              <w:szCs w:val="24"/>
              <w:lang w:val="en-GB" w:eastAsia="ja-JP"/>
            </w:rPr>
            <w:tab/>
          </w:r>
          <w:r w:rsidRPr="00997549">
            <w:rPr>
              <w:rFonts w:cs="Times"/>
              <w:noProof/>
            </w:rPr>
            <w:t>Evidence of Vickie Sacco (Central 1)</w:t>
          </w:r>
          <w:r>
            <w:rPr>
              <w:noProof/>
            </w:rPr>
            <w:tab/>
          </w:r>
          <w:r>
            <w:rPr>
              <w:noProof/>
            </w:rPr>
            <w:fldChar w:fldCharType="begin"/>
          </w:r>
          <w:r>
            <w:rPr>
              <w:noProof/>
            </w:rPr>
            <w:instrText xml:space="preserve"> PAGEREF _Toc411860392 \h </w:instrText>
          </w:r>
          <w:r>
            <w:rPr>
              <w:noProof/>
            </w:rPr>
          </w:r>
          <w:r>
            <w:rPr>
              <w:noProof/>
            </w:rPr>
            <w:fldChar w:fldCharType="separate"/>
          </w:r>
          <w:r>
            <w:rPr>
              <w:noProof/>
            </w:rPr>
            <w:t>25</w:t>
          </w:r>
          <w:r>
            <w:rPr>
              <w:noProof/>
            </w:rPr>
            <w:fldChar w:fldCharType="end"/>
          </w:r>
        </w:p>
        <w:p w14:paraId="626F5636" w14:textId="77777777" w:rsidR="00C308B3" w:rsidRDefault="00C308B3">
          <w:pPr>
            <w:pStyle w:val="TOC4"/>
            <w:tabs>
              <w:tab w:val="right" w:leader="dot" w:pos="8630"/>
            </w:tabs>
            <w:rPr>
              <w:noProof/>
              <w:sz w:val="24"/>
              <w:szCs w:val="24"/>
              <w:lang w:val="en-GB" w:eastAsia="ja-JP"/>
            </w:rPr>
          </w:pPr>
          <w:r w:rsidRPr="00997549">
            <w:rPr>
              <w:noProof/>
            </w:rPr>
            <w:t>The Ultimate Misunderstanding</w:t>
          </w:r>
          <w:r>
            <w:rPr>
              <w:noProof/>
            </w:rPr>
            <w:tab/>
          </w:r>
          <w:r>
            <w:rPr>
              <w:noProof/>
            </w:rPr>
            <w:fldChar w:fldCharType="begin"/>
          </w:r>
          <w:r>
            <w:rPr>
              <w:noProof/>
            </w:rPr>
            <w:instrText xml:space="preserve"> PAGEREF _Toc411860393 \h </w:instrText>
          </w:r>
          <w:r>
            <w:rPr>
              <w:noProof/>
            </w:rPr>
          </w:r>
          <w:r>
            <w:rPr>
              <w:noProof/>
            </w:rPr>
            <w:fldChar w:fldCharType="separate"/>
          </w:r>
          <w:r>
            <w:rPr>
              <w:noProof/>
            </w:rPr>
            <w:t>25</w:t>
          </w:r>
          <w:r>
            <w:rPr>
              <w:noProof/>
            </w:rPr>
            <w:fldChar w:fldCharType="end"/>
          </w:r>
        </w:p>
        <w:p w14:paraId="644B3706" w14:textId="77777777" w:rsidR="00C308B3" w:rsidRDefault="00C308B3">
          <w:pPr>
            <w:pStyle w:val="TOC4"/>
            <w:tabs>
              <w:tab w:val="right" w:leader="dot" w:pos="8630"/>
            </w:tabs>
            <w:rPr>
              <w:noProof/>
              <w:sz w:val="24"/>
              <w:szCs w:val="24"/>
              <w:lang w:val="en-GB" w:eastAsia="ja-JP"/>
            </w:rPr>
          </w:pPr>
          <w:r w:rsidRPr="00997549">
            <w:rPr>
              <w:noProof/>
              <w:lang w:val="en-GB"/>
            </w:rPr>
            <w:t>The Contracts</w:t>
          </w:r>
          <w:r>
            <w:rPr>
              <w:noProof/>
            </w:rPr>
            <w:tab/>
          </w:r>
          <w:r>
            <w:rPr>
              <w:noProof/>
            </w:rPr>
            <w:fldChar w:fldCharType="begin"/>
          </w:r>
          <w:r>
            <w:rPr>
              <w:noProof/>
            </w:rPr>
            <w:instrText xml:space="preserve"> PAGEREF _Toc411860394 \h </w:instrText>
          </w:r>
          <w:r>
            <w:rPr>
              <w:noProof/>
            </w:rPr>
          </w:r>
          <w:r>
            <w:rPr>
              <w:noProof/>
            </w:rPr>
            <w:fldChar w:fldCharType="separate"/>
          </w:r>
          <w:r>
            <w:rPr>
              <w:noProof/>
            </w:rPr>
            <w:t>28</w:t>
          </w:r>
          <w:r>
            <w:rPr>
              <w:noProof/>
            </w:rPr>
            <w:fldChar w:fldCharType="end"/>
          </w:r>
        </w:p>
        <w:p w14:paraId="348AC01D" w14:textId="77777777" w:rsidR="00C308B3" w:rsidRDefault="00C308B3">
          <w:pPr>
            <w:pStyle w:val="TOC4"/>
            <w:tabs>
              <w:tab w:val="right" w:leader="dot" w:pos="8630"/>
            </w:tabs>
            <w:rPr>
              <w:noProof/>
              <w:sz w:val="24"/>
              <w:szCs w:val="24"/>
              <w:lang w:val="en-GB" w:eastAsia="ja-JP"/>
            </w:rPr>
          </w:pPr>
          <w:r w:rsidRPr="00997549">
            <w:rPr>
              <w:noProof/>
              <w:lang w:val="en-GB"/>
            </w:rPr>
            <w:t>The Demonstrable Loss</w:t>
          </w:r>
          <w:r>
            <w:rPr>
              <w:noProof/>
            </w:rPr>
            <w:tab/>
          </w:r>
          <w:r>
            <w:rPr>
              <w:noProof/>
            </w:rPr>
            <w:fldChar w:fldCharType="begin"/>
          </w:r>
          <w:r>
            <w:rPr>
              <w:noProof/>
            </w:rPr>
            <w:instrText xml:space="preserve"> PAGEREF _Toc411860395 \h </w:instrText>
          </w:r>
          <w:r>
            <w:rPr>
              <w:noProof/>
            </w:rPr>
          </w:r>
          <w:r>
            <w:rPr>
              <w:noProof/>
            </w:rPr>
            <w:fldChar w:fldCharType="separate"/>
          </w:r>
          <w:r>
            <w:rPr>
              <w:noProof/>
            </w:rPr>
            <w:t>31</w:t>
          </w:r>
          <w:r>
            <w:rPr>
              <w:noProof/>
            </w:rPr>
            <w:fldChar w:fldCharType="end"/>
          </w:r>
        </w:p>
        <w:p w14:paraId="49F8F7B2" w14:textId="77777777" w:rsidR="00C308B3" w:rsidRDefault="00C308B3">
          <w:pPr>
            <w:pStyle w:val="TOC3"/>
            <w:tabs>
              <w:tab w:val="right" w:leader="dot" w:pos="8630"/>
            </w:tabs>
            <w:rPr>
              <w:i w:val="0"/>
              <w:noProof/>
              <w:sz w:val="24"/>
              <w:szCs w:val="24"/>
              <w:lang w:val="en-GB" w:eastAsia="ja-JP"/>
            </w:rPr>
          </w:pPr>
          <w:r w:rsidRPr="00997549">
            <w:rPr>
              <w:noProof/>
              <w:lang w:val="en-GB"/>
            </w:rPr>
            <w:t>ii. Evidence of the Homeowners</w:t>
          </w:r>
          <w:r>
            <w:rPr>
              <w:noProof/>
            </w:rPr>
            <w:tab/>
          </w:r>
          <w:r>
            <w:rPr>
              <w:noProof/>
            </w:rPr>
            <w:fldChar w:fldCharType="begin"/>
          </w:r>
          <w:r>
            <w:rPr>
              <w:noProof/>
            </w:rPr>
            <w:instrText xml:space="preserve"> PAGEREF _Toc411860396 \h </w:instrText>
          </w:r>
          <w:r>
            <w:rPr>
              <w:noProof/>
            </w:rPr>
          </w:r>
          <w:r>
            <w:rPr>
              <w:noProof/>
            </w:rPr>
            <w:fldChar w:fldCharType="separate"/>
          </w:r>
          <w:r>
            <w:rPr>
              <w:noProof/>
            </w:rPr>
            <w:t>32</w:t>
          </w:r>
          <w:r>
            <w:rPr>
              <w:noProof/>
            </w:rPr>
            <w:fldChar w:fldCharType="end"/>
          </w:r>
        </w:p>
        <w:p w14:paraId="6F43355D" w14:textId="77777777" w:rsidR="00C308B3" w:rsidRDefault="00C308B3">
          <w:pPr>
            <w:pStyle w:val="TOC3"/>
            <w:tabs>
              <w:tab w:val="right" w:leader="dot" w:pos="8630"/>
            </w:tabs>
            <w:rPr>
              <w:i w:val="0"/>
              <w:noProof/>
              <w:sz w:val="24"/>
              <w:szCs w:val="24"/>
              <w:lang w:val="en-GB" w:eastAsia="ja-JP"/>
            </w:rPr>
          </w:pPr>
          <w:r w:rsidRPr="00997549">
            <w:rPr>
              <w:noProof/>
              <w:lang w:val="en-GB"/>
            </w:rPr>
            <w:t>iii. Evidence of Mark Thompson (Grant Thornton Limited - Receiver)</w:t>
          </w:r>
          <w:r>
            <w:rPr>
              <w:noProof/>
            </w:rPr>
            <w:tab/>
          </w:r>
          <w:r>
            <w:rPr>
              <w:noProof/>
            </w:rPr>
            <w:fldChar w:fldCharType="begin"/>
          </w:r>
          <w:r>
            <w:rPr>
              <w:noProof/>
            </w:rPr>
            <w:instrText xml:space="preserve"> PAGEREF _Toc411860397 \h </w:instrText>
          </w:r>
          <w:r>
            <w:rPr>
              <w:noProof/>
            </w:rPr>
          </w:r>
          <w:r>
            <w:rPr>
              <w:noProof/>
            </w:rPr>
            <w:fldChar w:fldCharType="separate"/>
          </w:r>
          <w:r>
            <w:rPr>
              <w:noProof/>
            </w:rPr>
            <w:t>34</w:t>
          </w:r>
          <w:r>
            <w:rPr>
              <w:noProof/>
            </w:rPr>
            <w:fldChar w:fldCharType="end"/>
          </w:r>
        </w:p>
        <w:p w14:paraId="0063187D" w14:textId="77777777" w:rsidR="00C308B3" w:rsidRDefault="00C308B3">
          <w:pPr>
            <w:pStyle w:val="TOC4"/>
            <w:tabs>
              <w:tab w:val="right" w:leader="dot" w:pos="8630"/>
            </w:tabs>
            <w:rPr>
              <w:noProof/>
              <w:sz w:val="24"/>
              <w:szCs w:val="24"/>
              <w:lang w:val="en-GB" w:eastAsia="ja-JP"/>
            </w:rPr>
          </w:pPr>
          <w:r w:rsidRPr="00997549">
            <w:rPr>
              <w:noProof/>
              <w:lang w:val="en-GB"/>
            </w:rPr>
            <w:t>Aggressiveness</w:t>
          </w:r>
          <w:r>
            <w:rPr>
              <w:noProof/>
            </w:rPr>
            <w:tab/>
          </w:r>
          <w:r>
            <w:rPr>
              <w:noProof/>
            </w:rPr>
            <w:fldChar w:fldCharType="begin"/>
          </w:r>
          <w:r>
            <w:rPr>
              <w:noProof/>
            </w:rPr>
            <w:instrText xml:space="preserve"> PAGEREF _Toc411860398 \h </w:instrText>
          </w:r>
          <w:r>
            <w:rPr>
              <w:noProof/>
            </w:rPr>
          </w:r>
          <w:r>
            <w:rPr>
              <w:noProof/>
            </w:rPr>
            <w:fldChar w:fldCharType="separate"/>
          </w:r>
          <w:r>
            <w:rPr>
              <w:noProof/>
            </w:rPr>
            <w:t>34</w:t>
          </w:r>
          <w:r>
            <w:rPr>
              <w:noProof/>
            </w:rPr>
            <w:fldChar w:fldCharType="end"/>
          </w:r>
        </w:p>
        <w:p w14:paraId="74AF35DE" w14:textId="77777777" w:rsidR="00C308B3" w:rsidRDefault="00C308B3">
          <w:pPr>
            <w:pStyle w:val="TOC4"/>
            <w:tabs>
              <w:tab w:val="right" w:leader="dot" w:pos="8630"/>
            </w:tabs>
            <w:rPr>
              <w:noProof/>
              <w:sz w:val="24"/>
              <w:szCs w:val="24"/>
              <w:lang w:val="en-GB" w:eastAsia="ja-JP"/>
            </w:rPr>
          </w:pPr>
          <w:r w:rsidRPr="00997549">
            <w:rPr>
              <w:noProof/>
              <w:lang w:val="en-GB"/>
            </w:rPr>
            <w:t>Conflict of Interest</w:t>
          </w:r>
          <w:r>
            <w:rPr>
              <w:noProof/>
            </w:rPr>
            <w:tab/>
          </w:r>
          <w:r>
            <w:rPr>
              <w:noProof/>
            </w:rPr>
            <w:fldChar w:fldCharType="begin"/>
          </w:r>
          <w:r>
            <w:rPr>
              <w:noProof/>
            </w:rPr>
            <w:instrText xml:space="preserve"> PAGEREF _Toc411860399 \h </w:instrText>
          </w:r>
          <w:r>
            <w:rPr>
              <w:noProof/>
            </w:rPr>
          </w:r>
          <w:r>
            <w:rPr>
              <w:noProof/>
            </w:rPr>
            <w:fldChar w:fldCharType="separate"/>
          </w:r>
          <w:r>
            <w:rPr>
              <w:noProof/>
            </w:rPr>
            <w:t>36</w:t>
          </w:r>
          <w:r>
            <w:rPr>
              <w:noProof/>
            </w:rPr>
            <w:fldChar w:fldCharType="end"/>
          </w:r>
        </w:p>
        <w:p w14:paraId="00B28A47" w14:textId="77777777" w:rsidR="00C308B3" w:rsidRDefault="00C308B3">
          <w:pPr>
            <w:pStyle w:val="TOC4"/>
            <w:tabs>
              <w:tab w:val="right" w:leader="dot" w:pos="8630"/>
            </w:tabs>
            <w:rPr>
              <w:noProof/>
              <w:sz w:val="24"/>
              <w:szCs w:val="24"/>
              <w:lang w:val="en-GB" w:eastAsia="ja-JP"/>
            </w:rPr>
          </w:pPr>
          <w:r w:rsidRPr="00997549">
            <w:rPr>
              <w:noProof/>
              <w:lang w:val="en-GB"/>
            </w:rPr>
            <w:t>Credibility</w:t>
          </w:r>
          <w:r>
            <w:rPr>
              <w:noProof/>
            </w:rPr>
            <w:tab/>
          </w:r>
          <w:r>
            <w:rPr>
              <w:noProof/>
            </w:rPr>
            <w:fldChar w:fldCharType="begin"/>
          </w:r>
          <w:r>
            <w:rPr>
              <w:noProof/>
            </w:rPr>
            <w:instrText xml:space="preserve"> PAGEREF _Toc411860400 \h </w:instrText>
          </w:r>
          <w:r>
            <w:rPr>
              <w:noProof/>
            </w:rPr>
          </w:r>
          <w:r>
            <w:rPr>
              <w:noProof/>
            </w:rPr>
            <w:fldChar w:fldCharType="separate"/>
          </w:r>
          <w:r>
            <w:rPr>
              <w:noProof/>
            </w:rPr>
            <w:t>38</w:t>
          </w:r>
          <w:r>
            <w:rPr>
              <w:noProof/>
            </w:rPr>
            <w:fldChar w:fldCharType="end"/>
          </w:r>
        </w:p>
        <w:p w14:paraId="5C6F749F" w14:textId="77777777" w:rsidR="00C308B3" w:rsidRDefault="00C308B3">
          <w:pPr>
            <w:pStyle w:val="TOC3"/>
            <w:tabs>
              <w:tab w:val="right" w:leader="dot" w:pos="8630"/>
            </w:tabs>
            <w:rPr>
              <w:i w:val="0"/>
              <w:noProof/>
              <w:sz w:val="24"/>
              <w:szCs w:val="24"/>
              <w:lang w:val="en-GB" w:eastAsia="ja-JP"/>
            </w:rPr>
          </w:pPr>
          <w:r w:rsidRPr="00997549">
            <w:rPr>
              <w:noProof/>
              <w:lang w:val="en-GB"/>
            </w:rPr>
            <w:t>iv. Evidence of Michael Durst</w:t>
          </w:r>
          <w:r>
            <w:rPr>
              <w:noProof/>
            </w:rPr>
            <w:tab/>
          </w:r>
          <w:r>
            <w:rPr>
              <w:noProof/>
            </w:rPr>
            <w:fldChar w:fldCharType="begin"/>
          </w:r>
          <w:r>
            <w:rPr>
              <w:noProof/>
            </w:rPr>
            <w:instrText xml:space="preserve"> PAGEREF _Toc411860401 \h </w:instrText>
          </w:r>
          <w:r>
            <w:rPr>
              <w:noProof/>
            </w:rPr>
          </w:r>
          <w:r>
            <w:rPr>
              <w:noProof/>
            </w:rPr>
            <w:fldChar w:fldCharType="separate"/>
          </w:r>
          <w:r>
            <w:rPr>
              <w:noProof/>
            </w:rPr>
            <w:t>40</w:t>
          </w:r>
          <w:r>
            <w:rPr>
              <w:noProof/>
            </w:rPr>
            <w:fldChar w:fldCharType="end"/>
          </w:r>
        </w:p>
        <w:p w14:paraId="3AD9E5C2" w14:textId="77777777" w:rsidR="00C308B3" w:rsidRDefault="00C308B3">
          <w:pPr>
            <w:pStyle w:val="TOC3"/>
            <w:tabs>
              <w:tab w:val="right" w:leader="dot" w:pos="8630"/>
            </w:tabs>
            <w:rPr>
              <w:i w:val="0"/>
              <w:noProof/>
              <w:sz w:val="24"/>
              <w:szCs w:val="24"/>
              <w:lang w:val="en-GB" w:eastAsia="ja-JP"/>
            </w:rPr>
          </w:pPr>
          <w:r w:rsidRPr="00997549">
            <w:rPr>
              <w:noProof/>
              <w:lang w:val="en-GB"/>
            </w:rPr>
            <w:t>v. Evidence of Shazhad Siddiqui</w:t>
          </w:r>
          <w:r>
            <w:rPr>
              <w:noProof/>
            </w:rPr>
            <w:tab/>
          </w:r>
          <w:r>
            <w:rPr>
              <w:noProof/>
            </w:rPr>
            <w:fldChar w:fldCharType="begin"/>
          </w:r>
          <w:r>
            <w:rPr>
              <w:noProof/>
            </w:rPr>
            <w:instrText xml:space="preserve"> PAGEREF _Toc411860402 \h </w:instrText>
          </w:r>
          <w:r>
            <w:rPr>
              <w:noProof/>
            </w:rPr>
          </w:r>
          <w:r>
            <w:rPr>
              <w:noProof/>
            </w:rPr>
            <w:fldChar w:fldCharType="separate"/>
          </w:r>
          <w:r>
            <w:rPr>
              <w:noProof/>
            </w:rPr>
            <w:t>41</w:t>
          </w:r>
          <w:r>
            <w:rPr>
              <w:noProof/>
            </w:rPr>
            <w:fldChar w:fldCharType="end"/>
          </w:r>
        </w:p>
        <w:p w14:paraId="54501B4B" w14:textId="77777777" w:rsidR="00C308B3" w:rsidRDefault="00C308B3">
          <w:pPr>
            <w:pStyle w:val="TOC3"/>
            <w:tabs>
              <w:tab w:val="right" w:leader="dot" w:pos="8630"/>
            </w:tabs>
            <w:rPr>
              <w:i w:val="0"/>
              <w:noProof/>
              <w:sz w:val="24"/>
              <w:szCs w:val="24"/>
              <w:lang w:val="en-GB" w:eastAsia="ja-JP"/>
            </w:rPr>
          </w:pPr>
          <w:r w:rsidRPr="00997549">
            <w:rPr>
              <w:noProof/>
              <w:lang w:val="en-GB"/>
            </w:rPr>
            <w:t>vi. Evidence of Roch Dupont</w:t>
          </w:r>
          <w:r>
            <w:rPr>
              <w:noProof/>
            </w:rPr>
            <w:tab/>
          </w:r>
          <w:r>
            <w:rPr>
              <w:noProof/>
            </w:rPr>
            <w:fldChar w:fldCharType="begin"/>
          </w:r>
          <w:r>
            <w:rPr>
              <w:noProof/>
            </w:rPr>
            <w:instrText xml:space="preserve"> PAGEREF _Toc411860403 \h </w:instrText>
          </w:r>
          <w:r>
            <w:rPr>
              <w:noProof/>
            </w:rPr>
          </w:r>
          <w:r>
            <w:rPr>
              <w:noProof/>
            </w:rPr>
            <w:fldChar w:fldCharType="separate"/>
          </w:r>
          <w:r>
            <w:rPr>
              <w:noProof/>
            </w:rPr>
            <w:t>44</w:t>
          </w:r>
          <w:r>
            <w:rPr>
              <w:noProof/>
            </w:rPr>
            <w:fldChar w:fldCharType="end"/>
          </w:r>
        </w:p>
        <w:p w14:paraId="2033E197" w14:textId="77777777" w:rsidR="00C308B3" w:rsidRDefault="00C308B3">
          <w:pPr>
            <w:pStyle w:val="TOC4"/>
            <w:tabs>
              <w:tab w:val="right" w:leader="dot" w:pos="8630"/>
            </w:tabs>
            <w:rPr>
              <w:noProof/>
              <w:sz w:val="24"/>
              <w:szCs w:val="24"/>
              <w:lang w:val="en-GB" w:eastAsia="ja-JP"/>
            </w:rPr>
          </w:pPr>
          <w:r w:rsidRPr="00997549">
            <w:rPr>
              <w:noProof/>
              <w:lang w:val="en-GB"/>
            </w:rPr>
            <w:t>Charge 1: Failure to Perform Duties of a Bankrupt</w:t>
          </w:r>
          <w:r>
            <w:rPr>
              <w:noProof/>
            </w:rPr>
            <w:tab/>
          </w:r>
          <w:r>
            <w:rPr>
              <w:noProof/>
            </w:rPr>
            <w:fldChar w:fldCharType="begin"/>
          </w:r>
          <w:r>
            <w:rPr>
              <w:noProof/>
            </w:rPr>
            <w:instrText xml:space="preserve"> PAGEREF _Toc411860404 \h </w:instrText>
          </w:r>
          <w:r>
            <w:rPr>
              <w:noProof/>
            </w:rPr>
          </w:r>
          <w:r>
            <w:rPr>
              <w:noProof/>
            </w:rPr>
            <w:fldChar w:fldCharType="separate"/>
          </w:r>
          <w:r>
            <w:rPr>
              <w:noProof/>
            </w:rPr>
            <w:t>44</w:t>
          </w:r>
          <w:r>
            <w:rPr>
              <w:noProof/>
            </w:rPr>
            <w:fldChar w:fldCharType="end"/>
          </w:r>
        </w:p>
        <w:p w14:paraId="0162336D" w14:textId="77777777" w:rsidR="00C308B3" w:rsidRDefault="00C308B3">
          <w:pPr>
            <w:pStyle w:val="TOC4"/>
            <w:tabs>
              <w:tab w:val="right" w:leader="dot" w:pos="8630"/>
            </w:tabs>
            <w:rPr>
              <w:noProof/>
              <w:sz w:val="24"/>
              <w:szCs w:val="24"/>
              <w:lang w:val="en-GB" w:eastAsia="ja-JP"/>
            </w:rPr>
          </w:pPr>
          <w:r w:rsidRPr="00997549">
            <w:rPr>
              <w:noProof/>
              <w:lang w:val="en-GB"/>
            </w:rPr>
            <w:t>Charge 2: Failure to Answer Fully and Truthfully</w:t>
          </w:r>
          <w:r>
            <w:rPr>
              <w:noProof/>
            </w:rPr>
            <w:tab/>
          </w:r>
          <w:r>
            <w:rPr>
              <w:noProof/>
            </w:rPr>
            <w:fldChar w:fldCharType="begin"/>
          </w:r>
          <w:r>
            <w:rPr>
              <w:noProof/>
            </w:rPr>
            <w:instrText xml:space="preserve"> PAGEREF _Toc411860405 \h </w:instrText>
          </w:r>
          <w:r>
            <w:rPr>
              <w:noProof/>
            </w:rPr>
          </w:r>
          <w:r>
            <w:rPr>
              <w:noProof/>
            </w:rPr>
            <w:fldChar w:fldCharType="separate"/>
          </w:r>
          <w:r>
            <w:rPr>
              <w:noProof/>
            </w:rPr>
            <w:t>50</w:t>
          </w:r>
          <w:r>
            <w:rPr>
              <w:noProof/>
            </w:rPr>
            <w:fldChar w:fldCharType="end"/>
          </w:r>
        </w:p>
        <w:p w14:paraId="2F5BA0B5" w14:textId="77777777" w:rsidR="00C308B3" w:rsidRDefault="00C308B3">
          <w:pPr>
            <w:pStyle w:val="TOC2"/>
            <w:tabs>
              <w:tab w:val="right" w:leader="dot" w:pos="8630"/>
            </w:tabs>
            <w:rPr>
              <w:smallCaps w:val="0"/>
              <w:noProof/>
              <w:sz w:val="24"/>
              <w:szCs w:val="24"/>
              <w:lang w:val="en-GB" w:eastAsia="ja-JP"/>
            </w:rPr>
          </w:pPr>
          <w:r w:rsidRPr="00997549">
            <w:rPr>
              <w:noProof/>
            </w:rPr>
            <w:t>DEFENCE EVIDENCE</w:t>
          </w:r>
          <w:r>
            <w:rPr>
              <w:noProof/>
            </w:rPr>
            <w:tab/>
          </w:r>
          <w:r>
            <w:rPr>
              <w:noProof/>
            </w:rPr>
            <w:fldChar w:fldCharType="begin"/>
          </w:r>
          <w:r>
            <w:rPr>
              <w:noProof/>
            </w:rPr>
            <w:instrText xml:space="preserve"> PAGEREF _Toc411860406 \h </w:instrText>
          </w:r>
          <w:r>
            <w:rPr>
              <w:noProof/>
            </w:rPr>
          </w:r>
          <w:r>
            <w:rPr>
              <w:noProof/>
            </w:rPr>
            <w:fldChar w:fldCharType="separate"/>
          </w:r>
          <w:r>
            <w:rPr>
              <w:noProof/>
            </w:rPr>
            <w:t>50</w:t>
          </w:r>
          <w:r>
            <w:rPr>
              <w:noProof/>
            </w:rPr>
            <w:fldChar w:fldCharType="end"/>
          </w:r>
        </w:p>
        <w:p w14:paraId="69311DDD" w14:textId="77777777" w:rsidR="00C308B3" w:rsidRDefault="00C308B3">
          <w:pPr>
            <w:pStyle w:val="TOC3"/>
            <w:tabs>
              <w:tab w:val="left" w:pos="823"/>
              <w:tab w:val="right" w:leader="dot" w:pos="8630"/>
            </w:tabs>
            <w:rPr>
              <w:i w:val="0"/>
              <w:noProof/>
              <w:sz w:val="24"/>
              <w:szCs w:val="24"/>
              <w:lang w:val="en-GB" w:eastAsia="ja-JP"/>
            </w:rPr>
          </w:pPr>
          <w:r w:rsidRPr="00997549">
            <w:rPr>
              <w:rFonts w:cs="Times"/>
              <w:noProof/>
            </w:rPr>
            <w:t>i.</w:t>
          </w:r>
          <w:r>
            <w:rPr>
              <w:i w:val="0"/>
              <w:noProof/>
              <w:sz w:val="24"/>
              <w:szCs w:val="24"/>
              <w:lang w:val="en-GB" w:eastAsia="ja-JP"/>
            </w:rPr>
            <w:tab/>
          </w:r>
          <w:r w:rsidRPr="00997549">
            <w:rPr>
              <w:rFonts w:cs="Times"/>
              <w:noProof/>
            </w:rPr>
            <w:t>Evidence of Abdulkader Thomas</w:t>
          </w:r>
          <w:r>
            <w:rPr>
              <w:noProof/>
            </w:rPr>
            <w:tab/>
          </w:r>
          <w:r>
            <w:rPr>
              <w:noProof/>
            </w:rPr>
            <w:fldChar w:fldCharType="begin"/>
          </w:r>
          <w:r>
            <w:rPr>
              <w:noProof/>
            </w:rPr>
            <w:instrText xml:space="preserve"> PAGEREF _Toc411860407 \h </w:instrText>
          </w:r>
          <w:r>
            <w:rPr>
              <w:noProof/>
            </w:rPr>
          </w:r>
          <w:r>
            <w:rPr>
              <w:noProof/>
            </w:rPr>
            <w:fldChar w:fldCharType="separate"/>
          </w:r>
          <w:r>
            <w:rPr>
              <w:noProof/>
            </w:rPr>
            <w:t>50</w:t>
          </w:r>
          <w:r>
            <w:rPr>
              <w:noProof/>
            </w:rPr>
            <w:fldChar w:fldCharType="end"/>
          </w:r>
        </w:p>
        <w:p w14:paraId="1C539206" w14:textId="77777777" w:rsidR="00C308B3" w:rsidRDefault="00C308B3">
          <w:pPr>
            <w:pStyle w:val="TOC4"/>
            <w:tabs>
              <w:tab w:val="right" w:leader="dot" w:pos="8630"/>
            </w:tabs>
            <w:rPr>
              <w:noProof/>
              <w:sz w:val="24"/>
              <w:szCs w:val="24"/>
              <w:lang w:val="en-GB" w:eastAsia="ja-JP"/>
            </w:rPr>
          </w:pPr>
          <w:r w:rsidRPr="00997549">
            <w:rPr>
              <w:noProof/>
            </w:rPr>
            <w:t>Islamic Finance</w:t>
          </w:r>
          <w:r>
            <w:rPr>
              <w:noProof/>
            </w:rPr>
            <w:tab/>
          </w:r>
          <w:r>
            <w:rPr>
              <w:noProof/>
            </w:rPr>
            <w:fldChar w:fldCharType="begin"/>
          </w:r>
          <w:r>
            <w:rPr>
              <w:noProof/>
            </w:rPr>
            <w:instrText xml:space="preserve"> PAGEREF _Toc411860408 \h </w:instrText>
          </w:r>
          <w:r>
            <w:rPr>
              <w:noProof/>
            </w:rPr>
          </w:r>
          <w:r>
            <w:rPr>
              <w:noProof/>
            </w:rPr>
            <w:fldChar w:fldCharType="separate"/>
          </w:r>
          <w:r>
            <w:rPr>
              <w:noProof/>
            </w:rPr>
            <w:t>51</w:t>
          </w:r>
          <w:r>
            <w:rPr>
              <w:noProof/>
            </w:rPr>
            <w:fldChar w:fldCharType="end"/>
          </w:r>
        </w:p>
        <w:p w14:paraId="4D15AD2C" w14:textId="77777777" w:rsidR="00C308B3" w:rsidRDefault="00C308B3">
          <w:pPr>
            <w:pStyle w:val="TOC4"/>
            <w:tabs>
              <w:tab w:val="right" w:leader="dot" w:pos="8630"/>
            </w:tabs>
            <w:rPr>
              <w:noProof/>
              <w:sz w:val="24"/>
              <w:szCs w:val="24"/>
              <w:lang w:val="en-GB" w:eastAsia="ja-JP"/>
            </w:rPr>
          </w:pPr>
          <w:r w:rsidRPr="00997549">
            <w:rPr>
              <w:noProof/>
            </w:rPr>
            <w:t>Sharia Ethics Boards (SEBs)</w:t>
          </w:r>
          <w:r>
            <w:rPr>
              <w:noProof/>
            </w:rPr>
            <w:tab/>
          </w:r>
          <w:r>
            <w:rPr>
              <w:noProof/>
            </w:rPr>
            <w:fldChar w:fldCharType="begin"/>
          </w:r>
          <w:r>
            <w:rPr>
              <w:noProof/>
            </w:rPr>
            <w:instrText xml:space="preserve"> PAGEREF _Toc411860409 \h </w:instrText>
          </w:r>
          <w:r>
            <w:rPr>
              <w:noProof/>
            </w:rPr>
          </w:r>
          <w:r>
            <w:rPr>
              <w:noProof/>
            </w:rPr>
            <w:fldChar w:fldCharType="separate"/>
          </w:r>
          <w:r>
            <w:rPr>
              <w:noProof/>
            </w:rPr>
            <w:t>55</w:t>
          </w:r>
          <w:r>
            <w:rPr>
              <w:noProof/>
            </w:rPr>
            <w:fldChar w:fldCharType="end"/>
          </w:r>
        </w:p>
        <w:p w14:paraId="53A14547" w14:textId="77777777" w:rsidR="00C308B3" w:rsidRDefault="00C308B3">
          <w:pPr>
            <w:pStyle w:val="TOC4"/>
            <w:tabs>
              <w:tab w:val="right" w:leader="dot" w:pos="8630"/>
            </w:tabs>
            <w:rPr>
              <w:noProof/>
              <w:sz w:val="24"/>
              <w:szCs w:val="24"/>
              <w:lang w:val="en-GB" w:eastAsia="ja-JP"/>
            </w:rPr>
          </w:pPr>
          <w:r w:rsidRPr="00997549">
            <w:rPr>
              <w:noProof/>
            </w:rPr>
            <w:t>Gold and Islamic Finance</w:t>
          </w:r>
          <w:r>
            <w:rPr>
              <w:noProof/>
            </w:rPr>
            <w:tab/>
          </w:r>
          <w:r>
            <w:rPr>
              <w:noProof/>
            </w:rPr>
            <w:fldChar w:fldCharType="begin"/>
          </w:r>
          <w:r>
            <w:rPr>
              <w:noProof/>
            </w:rPr>
            <w:instrText xml:space="preserve"> PAGEREF _Toc411860410 \h </w:instrText>
          </w:r>
          <w:r>
            <w:rPr>
              <w:noProof/>
            </w:rPr>
          </w:r>
          <w:r>
            <w:rPr>
              <w:noProof/>
            </w:rPr>
            <w:fldChar w:fldCharType="separate"/>
          </w:r>
          <w:r>
            <w:rPr>
              <w:noProof/>
            </w:rPr>
            <w:t>57</w:t>
          </w:r>
          <w:r>
            <w:rPr>
              <w:noProof/>
            </w:rPr>
            <w:fldChar w:fldCharType="end"/>
          </w:r>
        </w:p>
        <w:p w14:paraId="6CEB9BE4" w14:textId="77777777" w:rsidR="00C308B3" w:rsidRDefault="00C308B3">
          <w:pPr>
            <w:pStyle w:val="TOC4"/>
            <w:tabs>
              <w:tab w:val="right" w:leader="dot" w:pos="8630"/>
            </w:tabs>
            <w:rPr>
              <w:noProof/>
              <w:sz w:val="24"/>
              <w:szCs w:val="24"/>
              <w:lang w:val="en-GB" w:eastAsia="ja-JP"/>
            </w:rPr>
          </w:pPr>
          <w:r w:rsidRPr="00997549">
            <w:rPr>
              <w:noProof/>
            </w:rPr>
            <w:t>Romspen Commitment Letter</w:t>
          </w:r>
          <w:r>
            <w:rPr>
              <w:noProof/>
            </w:rPr>
            <w:tab/>
          </w:r>
          <w:r>
            <w:rPr>
              <w:noProof/>
            </w:rPr>
            <w:fldChar w:fldCharType="begin"/>
          </w:r>
          <w:r>
            <w:rPr>
              <w:noProof/>
            </w:rPr>
            <w:instrText xml:space="preserve"> PAGEREF _Toc411860411 \h </w:instrText>
          </w:r>
          <w:r>
            <w:rPr>
              <w:noProof/>
            </w:rPr>
          </w:r>
          <w:r>
            <w:rPr>
              <w:noProof/>
            </w:rPr>
            <w:fldChar w:fldCharType="separate"/>
          </w:r>
          <w:r>
            <w:rPr>
              <w:noProof/>
            </w:rPr>
            <w:t>58</w:t>
          </w:r>
          <w:r>
            <w:rPr>
              <w:noProof/>
            </w:rPr>
            <w:fldChar w:fldCharType="end"/>
          </w:r>
        </w:p>
        <w:p w14:paraId="25C877A2" w14:textId="77777777" w:rsidR="00C308B3" w:rsidRDefault="00C308B3">
          <w:pPr>
            <w:pStyle w:val="TOC4"/>
            <w:tabs>
              <w:tab w:val="right" w:leader="dot" w:pos="8630"/>
            </w:tabs>
            <w:rPr>
              <w:noProof/>
              <w:sz w:val="24"/>
              <w:szCs w:val="24"/>
              <w:lang w:val="en-GB" w:eastAsia="ja-JP"/>
            </w:rPr>
          </w:pPr>
          <w:r w:rsidRPr="00997549">
            <w:rPr>
              <w:noProof/>
            </w:rPr>
            <w:t>Expert Conclusion</w:t>
          </w:r>
          <w:r>
            <w:rPr>
              <w:noProof/>
            </w:rPr>
            <w:tab/>
          </w:r>
          <w:r>
            <w:rPr>
              <w:noProof/>
            </w:rPr>
            <w:fldChar w:fldCharType="begin"/>
          </w:r>
          <w:r>
            <w:rPr>
              <w:noProof/>
            </w:rPr>
            <w:instrText xml:space="preserve"> PAGEREF _Toc411860412 \h </w:instrText>
          </w:r>
          <w:r>
            <w:rPr>
              <w:noProof/>
            </w:rPr>
          </w:r>
          <w:r>
            <w:rPr>
              <w:noProof/>
            </w:rPr>
            <w:fldChar w:fldCharType="separate"/>
          </w:r>
          <w:r>
            <w:rPr>
              <w:noProof/>
            </w:rPr>
            <w:t>58</w:t>
          </w:r>
          <w:r>
            <w:rPr>
              <w:noProof/>
            </w:rPr>
            <w:fldChar w:fldCharType="end"/>
          </w:r>
        </w:p>
        <w:p w14:paraId="16A25ACB" w14:textId="77777777" w:rsidR="00C308B3" w:rsidRDefault="00C308B3">
          <w:pPr>
            <w:pStyle w:val="TOC3"/>
            <w:tabs>
              <w:tab w:val="left" w:pos="883"/>
              <w:tab w:val="right" w:leader="dot" w:pos="8630"/>
            </w:tabs>
            <w:rPr>
              <w:i w:val="0"/>
              <w:noProof/>
              <w:sz w:val="24"/>
              <w:szCs w:val="24"/>
              <w:lang w:val="en-GB" w:eastAsia="ja-JP"/>
            </w:rPr>
          </w:pPr>
          <w:r w:rsidRPr="00997549">
            <w:rPr>
              <w:rFonts w:cs="Times"/>
              <w:noProof/>
            </w:rPr>
            <w:t>ii.</w:t>
          </w:r>
          <w:r>
            <w:rPr>
              <w:i w:val="0"/>
              <w:noProof/>
              <w:sz w:val="24"/>
              <w:szCs w:val="24"/>
              <w:lang w:val="en-GB" w:eastAsia="ja-JP"/>
            </w:rPr>
            <w:tab/>
          </w:r>
          <w:r w:rsidRPr="00997549">
            <w:rPr>
              <w:rFonts w:cs="Times"/>
              <w:noProof/>
            </w:rPr>
            <w:t>Evidence of Omar Kalair</w:t>
          </w:r>
          <w:r>
            <w:rPr>
              <w:noProof/>
            </w:rPr>
            <w:tab/>
          </w:r>
          <w:r>
            <w:rPr>
              <w:noProof/>
            </w:rPr>
            <w:fldChar w:fldCharType="begin"/>
          </w:r>
          <w:r>
            <w:rPr>
              <w:noProof/>
            </w:rPr>
            <w:instrText xml:space="preserve"> PAGEREF _Toc411860413 \h </w:instrText>
          </w:r>
          <w:r>
            <w:rPr>
              <w:noProof/>
            </w:rPr>
          </w:r>
          <w:r>
            <w:rPr>
              <w:noProof/>
            </w:rPr>
            <w:fldChar w:fldCharType="separate"/>
          </w:r>
          <w:r>
            <w:rPr>
              <w:noProof/>
            </w:rPr>
            <w:t>59</w:t>
          </w:r>
          <w:r>
            <w:rPr>
              <w:noProof/>
            </w:rPr>
            <w:fldChar w:fldCharType="end"/>
          </w:r>
        </w:p>
        <w:p w14:paraId="6D81E886" w14:textId="77777777" w:rsidR="00C308B3" w:rsidRDefault="00C308B3">
          <w:pPr>
            <w:pStyle w:val="TOC4"/>
            <w:tabs>
              <w:tab w:val="right" w:leader="dot" w:pos="8630"/>
            </w:tabs>
            <w:rPr>
              <w:noProof/>
              <w:sz w:val="24"/>
              <w:szCs w:val="24"/>
              <w:lang w:val="en-GB" w:eastAsia="ja-JP"/>
            </w:rPr>
          </w:pPr>
          <w:r w:rsidRPr="00997549">
            <w:rPr>
              <w:noProof/>
            </w:rPr>
            <w:t>Background</w:t>
          </w:r>
          <w:r>
            <w:rPr>
              <w:noProof/>
            </w:rPr>
            <w:tab/>
          </w:r>
          <w:r>
            <w:rPr>
              <w:noProof/>
            </w:rPr>
            <w:fldChar w:fldCharType="begin"/>
          </w:r>
          <w:r>
            <w:rPr>
              <w:noProof/>
            </w:rPr>
            <w:instrText xml:space="preserve"> PAGEREF _Toc411860414 \h </w:instrText>
          </w:r>
          <w:r>
            <w:rPr>
              <w:noProof/>
            </w:rPr>
          </w:r>
          <w:r>
            <w:rPr>
              <w:noProof/>
            </w:rPr>
            <w:fldChar w:fldCharType="separate"/>
          </w:r>
          <w:r>
            <w:rPr>
              <w:noProof/>
            </w:rPr>
            <w:t>59</w:t>
          </w:r>
          <w:r>
            <w:rPr>
              <w:noProof/>
            </w:rPr>
            <w:fldChar w:fldCharType="end"/>
          </w:r>
        </w:p>
        <w:p w14:paraId="2BC24129" w14:textId="77777777" w:rsidR="00C308B3" w:rsidRDefault="00C308B3">
          <w:pPr>
            <w:pStyle w:val="TOC4"/>
            <w:tabs>
              <w:tab w:val="right" w:leader="dot" w:pos="8630"/>
            </w:tabs>
            <w:rPr>
              <w:noProof/>
              <w:sz w:val="24"/>
              <w:szCs w:val="24"/>
              <w:lang w:val="en-GB" w:eastAsia="ja-JP"/>
            </w:rPr>
          </w:pPr>
          <w:r w:rsidRPr="00997549">
            <w:rPr>
              <w:noProof/>
            </w:rPr>
            <w:t>The SEB and their Fatwas</w:t>
          </w:r>
          <w:r>
            <w:rPr>
              <w:noProof/>
            </w:rPr>
            <w:tab/>
          </w:r>
          <w:r>
            <w:rPr>
              <w:noProof/>
            </w:rPr>
            <w:fldChar w:fldCharType="begin"/>
          </w:r>
          <w:r>
            <w:rPr>
              <w:noProof/>
            </w:rPr>
            <w:instrText xml:space="preserve"> PAGEREF _Toc411860415 \h </w:instrText>
          </w:r>
          <w:r>
            <w:rPr>
              <w:noProof/>
            </w:rPr>
          </w:r>
          <w:r>
            <w:rPr>
              <w:noProof/>
            </w:rPr>
            <w:fldChar w:fldCharType="separate"/>
          </w:r>
          <w:r>
            <w:rPr>
              <w:noProof/>
            </w:rPr>
            <w:t>61</w:t>
          </w:r>
          <w:r>
            <w:rPr>
              <w:noProof/>
            </w:rPr>
            <w:fldChar w:fldCharType="end"/>
          </w:r>
        </w:p>
        <w:p w14:paraId="564A8BB3" w14:textId="77777777" w:rsidR="00C308B3" w:rsidRDefault="00C308B3">
          <w:pPr>
            <w:pStyle w:val="TOC4"/>
            <w:tabs>
              <w:tab w:val="right" w:leader="dot" w:pos="8630"/>
            </w:tabs>
            <w:rPr>
              <w:noProof/>
              <w:sz w:val="24"/>
              <w:szCs w:val="24"/>
              <w:lang w:val="en-GB" w:eastAsia="ja-JP"/>
            </w:rPr>
          </w:pPr>
          <w:r w:rsidRPr="00997549">
            <w:rPr>
              <w:noProof/>
            </w:rPr>
            <w:t>SEB Fines</w:t>
          </w:r>
          <w:r>
            <w:rPr>
              <w:noProof/>
            </w:rPr>
            <w:tab/>
          </w:r>
          <w:r>
            <w:rPr>
              <w:noProof/>
            </w:rPr>
            <w:fldChar w:fldCharType="begin"/>
          </w:r>
          <w:r>
            <w:rPr>
              <w:noProof/>
            </w:rPr>
            <w:instrText xml:space="preserve"> PAGEREF _Toc411860416 \h </w:instrText>
          </w:r>
          <w:r>
            <w:rPr>
              <w:noProof/>
            </w:rPr>
          </w:r>
          <w:r>
            <w:rPr>
              <w:noProof/>
            </w:rPr>
            <w:fldChar w:fldCharType="separate"/>
          </w:r>
          <w:r>
            <w:rPr>
              <w:noProof/>
            </w:rPr>
            <w:t>63</w:t>
          </w:r>
          <w:r>
            <w:rPr>
              <w:noProof/>
            </w:rPr>
            <w:fldChar w:fldCharType="end"/>
          </w:r>
        </w:p>
        <w:p w14:paraId="04DE28A6" w14:textId="77777777" w:rsidR="00C308B3" w:rsidRDefault="00C308B3">
          <w:pPr>
            <w:pStyle w:val="TOC4"/>
            <w:tabs>
              <w:tab w:val="right" w:leader="dot" w:pos="8630"/>
            </w:tabs>
            <w:rPr>
              <w:noProof/>
              <w:sz w:val="24"/>
              <w:szCs w:val="24"/>
              <w:lang w:val="en-GB" w:eastAsia="ja-JP"/>
            </w:rPr>
          </w:pPr>
          <w:r w:rsidRPr="00997549">
            <w:rPr>
              <w:noProof/>
            </w:rPr>
            <w:t>The Contracts</w:t>
          </w:r>
          <w:r>
            <w:rPr>
              <w:noProof/>
            </w:rPr>
            <w:tab/>
          </w:r>
          <w:r>
            <w:rPr>
              <w:noProof/>
            </w:rPr>
            <w:fldChar w:fldCharType="begin"/>
          </w:r>
          <w:r>
            <w:rPr>
              <w:noProof/>
            </w:rPr>
            <w:instrText xml:space="preserve"> PAGEREF _Toc411860417 \h </w:instrText>
          </w:r>
          <w:r>
            <w:rPr>
              <w:noProof/>
            </w:rPr>
          </w:r>
          <w:r>
            <w:rPr>
              <w:noProof/>
            </w:rPr>
            <w:fldChar w:fldCharType="separate"/>
          </w:r>
          <w:r>
            <w:rPr>
              <w:noProof/>
            </w:rPr>
            <w:t>64</w:t>
          </w:r>
          <w:r>
            <w:rPr>
              <w:noProof/>
            </w:rPr>
            <w:fldChar w:fldCharType="end"/>
          </w:r>
        </w:p>
        <w:p w14:paraId="59CA1AE1" w14:textId="77777777" w:rsidR="00C308B3" w:rsidRDefault="00C308B3">
          <w:pPr>
            <w:pStyle w:val="TOC4"/>
            <w:tabs>
              <w:tab w:val="right" w:leader="dot" w:pos="8630"/>
            </w:tabs>
            <w:rPr>
              <w:noProof/>
              <w:sz w:val="24"/>
              <w:szCs w:val="24"/>
              <w:lang w:val="en-GB" w:eastAsia="ja-JP"/>
            </w:rPr>
          </w:pPr>
          <w:r w:rsidRPr="00997549">
            <w:rPr>
              <w:rFonts w:ascii="Times Roman" w:hAnsi="Times Roman"/>
              <w:noProof/>
            </w:rPr>
            <w:t>The Road to Receivership</w:t>
          </w:r>
          <w:r>
            <w:rPr>
              <w:noProof/>
            </w:rPr>
            <w:tab/>
          </w:r>
          <w:r>
            <w:rPr>
              <w:noProof/>
            </w:rPr>
            <w:fldChar w:fldCharType="begin"/>
          </w:r>
          <w:r>
            <w:rPr>
              <w:noProof/>
            </w:rPr>
            <w:instrText xml:space="preserve"> PAGEREF _Toc411860418 \h </w:instrText>
          </w:r>
          <w:r>
            <w:rPr>
              <w:noProof/>
            </w:rPr>
          </w:r>
          <w:r>
            <w:rPr>
              <w:noProof/>
            </w:rPr>
            <w:fldChar w:fldCharType="separate"/>
          </w:r>
          <w:r>
            <w:rPr>
              <w:noProof/>
            </w:rPr>
            <w:t>65</w:t>
          </w:r>
          <w:r>
            <w:rPr>
              <w:noProof/>
            </w:rPr>
            <w:fldChar w:fldCharType="end"/>
          </w:r>
        </w:p>
        <w:p w14:paraId="39761AE1" w14:textId="77777777" w:rsidR="00C308B3" w:rsidRDefault="00C308B3">
          <w:pPr>
            <w:pStyle w:val="TOC4"/>
            <w:tabs>
              <w:tab w:val="right" w:leader="dot" w:pos="8630"/>
            </w:tabs>
            <w:rPr>
              <w:noProof/>
              <w:sz w:val="24"/>
              <w:szCs w:val="24"/>
              <w:lang w:val="en-GB" w:eastAsia="ja-JP"/>
            </w:rPr>
          </w:pPr>
          <w:r w:rsidRPr="00997549">
            <w:rPr>
              <w:noProof/>
            </w:rPr>
            <w:t>Romspen</w:t>
          </w:r>
          <w:r>
            <w:rPr>
              <w:noProof/>
            </w:rPr>
            <w:tab/>
          </w:r>
          <w:r>
            <w:rPr>
              <w:noProof/>
            </w:rPr>
            <w:fldChar w:fldCharType="begin"/>
          </w:r>
          <w:r>
            <w:rPr>
              <w:noProof/>
            </w:rPr>
            <w:instrText xml:space="preserve"> PAGEREF _Toc411860419 \h </w:instrText>
          </w:r>
          <w:r>
            <w:rPr>
              <w:noProof/>
            </w:rPr>
          </w:r>
          <w:r>
            <w:rPr>
              <w:noProof/>
            </w:rPr>
            <w:fldChar w:fldCharType="separate"/>
          </w:r>
          <w:r>
            <w:rPr>
              <w:noProof/>
            </w:rPr>
            <w:t>67</w:t>
          </w:r>
          <w:r>
            <w:rPr>
              <w:noProof/>
            </w:rPr>
            <w:fldChar w:fldCharType="end"/>
          </w:r>
        </w:p>
        <w:p w14:paraId="02F20E39" w14:textId="77777777" w:rsidR="00C308B3" w:rsidRDefault="00C308B3">
          <w:pPr>
            <w:pStyle w:val="TOC4"/>
            <w:tabs>
              <w:tab w:val="right" w:leader="dot" w:pos="8630"/>
            </w:tabs>
            <w:rPr>
              <w:noProof/>
              <w:sz w:val="24"/>
              <w:szCs w:val="24"/>
              <w:lang w:val="en-GB" w:eastAsia="ja-JP"/>
            </w:rPr>
          </w:pPr>
          <w:r w:rsidRPr="00997549">
            <w:rPr>
              <w:noProof/>
            </w:rPr>
            <w:t>Payment of Precious Metals</w:t>
          </w:r>
          <w:r>
            <w:rPr>
              <w:noProof/>
            </w:rPr>
            <w:tab/>
          </w:r>
          <w:r>
            <w:rPr>
              <w:noProof/>
            </w:rPr>
            <w:fldChar w:fldCharType="begin"/>
          </w:r>
          <w:r>
            <w:rPr>
              <w:noProof/>
            </w:rPr>
            <w:instrText xml:space="preserve"> PAGEREF _Toc411860420 \h </w:instrText>
          </w:r>
          <w:r>
            <w:rPr>
              <w:noProof/>
            </w:rPr>
          </w:r>
          <w:r>
            <w:rPr>
              <w:noProof/>
            </w:rPr>
            <w:fldChar w:fldCharType="separate"/>
          </w:r>
          <w:r>
            <w:rPr>
              <w:noProof/>
            </w:rPr>
            <w:t>68</w:t>
          </w:r>
          <w:r>
            <w:rPr>
              <w:noProof/>
            </w:rPr>
            <w:fldChar w:fldCharType="end"/>
          </w:r>
        </w:p>
        <w:p w14:paraId="1B184413" w14:textId="77777777" w:rsidR="00C308B3" w:rsidRDefault="00C308B3">
          <w:pPr>
            <w:pStyle w:val="TOC4"/>
            <w:tabs>
              <w:tab w:val="right" w:leader="dot" w:pos="8630"/>
            </w:tabs>
            <w:rPr>
              <w:noProof/>
              <w:sz w:val="24"/>
              <w:szCs w:val="24"/>
              <w:lang w:val="en-GB" w:eastAsia="ja-JP"/>
            </w:rPr>
          </w:pPr>
          <w:r w:rsidRPr="00997549">
            <w:rPr>
              <w:noProof/>
            </w:rPr>
            <w:t>Assignment of Claim</w:t>
          </w:r>
          <w:r>
            <w:rPr>
              <w:noProof/>
            </w:rPr>
            <w:tab/>
          </w:r>
          <w:r>
            <w:rPr>
              <w:noProof/>
            </w:rPr>
            <w:fldChar w:fldCharType="begin"/>
          </w:r>
          <w:r>
            <w:rPr>
              <w:noProof/>
            </w:rPr>
            <w:instrText xml:space="preserve"> PAGEREF _Toc411860421 \h </w:instrText>
          </w:r>
          <w:r>
            <w:rPr>
              <w:noProof/>
            </w:rPr>
          </w:r>
          <w:r>
            <w:rPr>
              <w:noProof/>
            </w:rPr>
            <w:fldChar w:fldCharType="separate"/>
          </w:r>
          <w:r>
            <w:rPr>
              <w:noProof/>
            </w:rPr>
            <w:t>72</w:t>
          </w:r>
          <w:r>
            <w:rPr>
              <w:noProof/>
            </w:rPr>
            <w:fldChar w:fldCharType="end"/>
          </w:r>
        </w:p>
        <w:p w14:paraId="0CF85C8F" w14:textId="77777777" w:rsidR="00C308B3" w:rsidRDefault="00C308B3">
          <w:pPr>
            <w:pStyle w:val="TOC4"/>
            <w:tabs>
              <w:tab w:val="right" w:leader="dot" w:pos="8630"/>
            </w:tabs>
            <w:rPr>
              <w:noProof/>
              <w:sz w:val="24"/>
              <w:szCs w:val="24"/>
              <w:lang w:val="en-GB" w:eastAsia="ja-JP"/>
            </w:rPr>
          </w:pPr>
          <w:r w:rsidRPr="00997549">
            <w:rPr>
              <w:noProof/>
            </w:rPr>
            <w:t>The Receivership</w:t>
          </w:r>
          <w:r>
            <w:rPr>
              <w:noProof/>
            </w:rPr>
            <w:tab/>
          </w:r>
          <w:r>
            <w:rPr>
              <w:noProof/>
            </w:rPr>
            <w:fldChar w:fldCharType="begin"/>
          </w:r>
          <w:r>
            <w:rPr>
              <w:noProof/>
            </w:rPr>
            <w:instrText xml:space="preserve"> PAGEREF _Toc411860422 \h </w:instrText>
          </w:r>
          <w:r>
            <w:rPr>
              <w:noProof/>
            </w:rPr>
          </w:r>
          <w:r>
            <w:rPr>
              <w:noProof/>
            </w:rPr>
            <w:fldChar w:fldCharType="separate"/>
          </w:r>
          <w:r>
            <w:rPr>
              <w:noProof/>
            </w:rPr>
            <w:t>73</w:t>
          </w:r>
          <w:r>
            <w:rPr>
              <w:noProof/>
            </w:rPr>
            <w:fldChar w:fldCharType="end"/>
          </w:r>
        </w:p>
        <w:p w14:paraId="2F03814A" w14:textId="77777777" w:rsidR="00C308B3" w:rsidRDefault="00C308B3">
          <w:pPr>
            <w:pStyle w:val="TOC1"/>
            <w:tabs>
              <w:tab w:val="right" w:leader="dot" w:pos="8630"/>
            </w:tabs>
            <w:rPr>
              <w:b w:val="0"/>
              <w:caps w:val="0"/>
              <w:noProof/>
              <w:sz w:val="24"/>
              <w:szCs w:val="24"/>
              <w:lang w:val="en-GB" w:eastAsia="ja-JP"/>
            </w:rPr>
          </w:pPr>
          <w:r w:rsidRPr="00997549">
            <w:rPr>
              <w:rFonts w:ascii="Times" w:hAnsi="Times" w:cs="Times"/>
              <w:noProof/>
            </w:rPr>
            <w:t>VI. Conclusion</w:t>
          </w:r>
          <w:r>
            <w:rPr>
              <w:noProof/>
            </w:rPr>
            <w:tab/>
          </w:r>
          <w:r>
            <w:rPr>
              <w:noProof/>
            </w:rPr>
            <w:fldChar w:fldCharType="begin"/>
          </w:r>
          <w:r>
            <w:rPr>
              <w:noProof/>
            </w:rPr>
            <w:instrText xml:space="preserve"> PAGEREF _Toc411860423 \h </w:instrText>
          </w:r>
          <w:r>
            <w:rPr>
              <w:noProof/>
            </w:rPr>
          </w:r>
          <w:r>
            <w:rPr>
              <w:noProof/>
            </w:rPr>
            <w:fldChar w:fldCharType="separate"/>
          </w:r>
          <w:r>
            <w:rPr>
              <w:noProof/>
            </w:rPr>
            <w:t>75</w:t>
          </w:r>
          <w:r>
            <w:rPr>
              <w:noProof/>
            </w:rPr>
            <w:fldChar w:fldCharType="end"/>
          </w:r>
        </w:p>
        <w:p w14:paraId="3483B539" w14:textId="77777777" w:rsidR="00C308B3" w:rsidRDefault="00C308B3">
          <w:pPr>
            <w:pStyle w:val="TOC1"/>
            <w:tabs>
              <w:tab w:val="right" w:leader="dot" w:pos="8630"/>
            </w:tabs>
            <w:rPr>
              <w:b w:val="0"/>
              <w:caps w:val="0"/>
              <w:noProof/>
              <w:sz w:val="24"/>
              <w:szCs w:val="24"/>
              <w:lang w:val="en-GB" w:eastAsia="ja-JP"/>
            </w:rPr>
          </w:pPr>
          <w:r w:rsidRPr="00997549">
            <w:rPr>
              <w:rFonts w:ascii="Times" w:hAnsi="Times"/>
              <w:noProof/>
              <w:u w:val="single"/>
            </w:rPr>
            <w:t>SCHEDULE A – LIST OF AUTHORITIES (Does not include Crown authorities re-cited herein)</w:t>
          </w:r>
          <w:r>
            <w:rPr>
              <w:noProof/>
            </w:rPr>
            <w:tab/>
          </w:r>
          <w:r>
            <w:rPr>
              <w:noProof/>
            </w:rPr>
            <w:fldChar w:fldCharType="begin"/>
          </w:r>
          <w:r>
            <w:rPr>
              <w:noProof/>
            </w:rPr>
            <w:instrText xml:space="preserve"> PAGEREF _Toc411860424 \h </w:instrText>
          </w:r>
          <w:r>
            <w:rPr>
              <w:noProof/>
            </w:rPr>
          </w:r>
          <w:r>
            <w:rPr>
              <w:noProof/>
            </w:rPr>
            <w:fldChar w:fldCharType="separate"/>
          </w:r>
          <w:r>
            <w:rPr>
              <w:noProof/>
            </w:rPr>
            <w:t>78</w:t>
          </w:r>
          <w:r>
            <w:rPr>
              <w:noProof/>
            </w:rPr>
            <w:fldChar w:fldCharType="end"/>
          </w:r>
        </w:p>
        <w:p w14:paraId="0BA69AFC" w14:textId="287538FE" w:rsidR="001462D0" w:rsidRPr="00F90AD9" w:rsidRDefault="001462D0" w:rsidP="00D8007F">
          <w:pPr>
            <w:rPr>
              <w:sz w:val="32"/>
              <w:szCs w:val="32"/>
            </w:rPr>
          </w:pPr>
          <w:r>
            <w:rPr>
              <w:caps/>
              <w:sz w:val="32"/>
              <w:szCs w:val="32"/>
            </w:rPr>
            <w:lastRenderedPageBreak/>
            <w:fldChar w:fldCharType="end"/>
          </w:r>
        </w:p>
      </w:sdtContent>
    </w:sdt>
    <w:p w14:paraId="1E6AAC63" w14:textId="6D9602FF" w:rsidR="004673EE" w:rsidRPr="001F4229" w:rsidRDefault="00E63B8A" w:rsidP="00F02FF2">
      <w:pPr>
        <w:pStyle w:val="Heading1"/>
        <w:spacing w:before="0" w:after="120" w:line="360" w:lineRule="auto"/>
        <w:jc w:val="both"/>
        <w:rPr>
          <w:rFonts w:ascii="Times" w:hAnsi="Times"/>
          <w:color w:val="auto"/>
        </w:rPr>
      </w:pPr>
      <w:bookmarkStart w:id="0" w:name="_Toc411860377"/>
      <w:r w:rsidRPr="001F4229">
        <w:rPr>
          <w:rFonts w:ascii="Times" w:hAnsi="Times"/>
          <w:color w:val="auto"/>
        </w:rPr>
        <w:t xml:space="preserve">I. </w:t>
      </w:r>
      <w:r w:rsidR="004673EE" w:rsidRPr="001F4229">
        <w:rPr>
          <w:rFonts w:ascii="Times" w:hAnsi="Times"/>
          <w:color w:val="auto"/>
        </w:rPr>
        <w:t xml:space="preserve">Introduction </w:t>
      </w:r>
      <w:r w:rsidR="0025468F" w:rsidRPr="001F4229">
        <w:rPr>
          <w:rFonts w:ascii="Times" w:hAnsi="Times"/>
          <w:color w:val="auto"/>
        </w:rPr>
        <w:t>&amp; Overview</w:t>
      </w:r>
      <w:bookmarkEnd w:id="0"/>
    </w:p>
    <w:p w14:paraId="03C2E2D4" w14:textId="6070C2F5" w:rsidR="004C7B25" w:rsidRDefault="004C7B25" w:rsidP="004C7B25">
      <w:pPr>
        <w:pStyle w:val="ListParagraph"/>
        <w:numPr>
          <w:ilvl w:val="0"/>
          <w:numId w:val="1"/>
        </w:numPr>
        <w:spacing w:after="120" w:line="360" w:lineRule="auto"/>
        <w:ind w:left="0" w:firstLine="0"/>
        <w:contextualSpacing w:val="0"/>
        <w:jc w:val="both"/>
      </w:pPr>
      <w:r>
        <w:t>In 2005, United Muslims Financial</w:t>
      </w:r>
      <w:r w:rsidR="000B5DDA">
        <w:t xml:space="preserve"> Inc.</w:t>
      </w:r>
      <w:r>
        <w:t xml:space="preserve"> (hereinafter referred to as “UM”) introduced to Canadians for the first time, the concept of Sharia compliant home financing. It was a landmark achievement in the field of Islamic Finance and proved to be wildly popular amongst Muslim Canadians. </w:t>
      </w:r>
    </w:p>
    <w:p w14:paraId="57F226D3" w14:textId="6CFD6317" w:rsidR="00B069D5" w:rsidRDefault="004C7B25" w:rsidP="004C7B25">
      <w:pPr>
        <w:pStyle w:val="ListParagraph"/>
        <w:numPr>
          <w:ilvl w:val="0"/>
          <w:numId w:val="1"/>
        </w:numPr>
        <w:spacing w:after="120" w:line="360" w:lineRule="auto"/>
        <w:ind w:left="0" w:firstLine="0"/>
        <w:contextualSpacing w:val="0"/>
        <w:jc w:val="both"/>
      </w:pPr>
      <w:r>
        <w:t xml:space="preserve">Sharia compliant home financing requires a complete overhaul of the traditional mortgage </w:t>
      </w:r>
      <w:r w:rsidR="000B5DDA">
        <w:t xml:space="preserve">lending </w:t>
      </w:r>
      <w:r>
        <w:t xml:space="preserve">business model. It requires dedicated, open-minded and </w:t>
      </w:r>
      <w:r w:rsidR="000B5DDA">
        <w:t xml:space="preserve">knowledgeable </w:t>
      </w:r>
      <w:r>
        <w:t>entrepreneurs. Mr</w:t>
      </w:r>
      <w:r w:rsidR="000B5DDA">
        <w:t>. Kalair was such an entrepreneur.</w:t>
      </w:r>
    </w:p>
    <w:p w14:paraId="2A696F97" w14:textId="77777777" w:rsidR="000B5DDA" w:rsidRDefault="000B5DDA" w:rsidP="00B069D5">
      <w:pPr>
        <w:pStyle w:val="ListParagraph"/>
        <w:numPr>
          <w:ilvl w:val="0"/>
          <w:numId w:val="1"/>
        </w:numPr>
        <w:spacing w:after="120" w:line="360" w:lineRule="auto"/>
        <w:ind w:left="0" w:firstLine="0"/>
        <w:contextualSpacing w:val="0"/>
        <w:jc w:val="both"/>
      </w:pPr>
      <w:r>
        <w:t xml:space="preserve">UM began as a charity and </w:t>
      </w:r>
      <w:r w:rsidR="00B069D5">
        <w:t>Mr. Kalair was a directo</w:t>
      </w:r>
      <w:r>
        <w:t>r. The charity was dedicated to advancing the interests of the Muslim Canadian community and providing them with services unique to their faith.</w:t>
      </w:r>
    </w:p>
    <w:p w14:paraId="06708366" w14:textId="7FD22FCB" w:rsidR="004C7B25" w:rsidRDefault="004C7B25" w:rsidP="00B069D5">
      <w:pPr>
        <w:pStyle w:val="ListParagraph"/>
        <w:numPr>
          <w:ilvl w:val="0"/>
          <w:numId w:val="1"/>
        </w:numPr>
        <w:spacing w:after="120" w:line="360" w:lineRule="auto"/>
        <w:ind w:left="0" w:firstLine="0"/>
        <w:contextualSpacing w:val="0"/>
        <w:jc w:val="both"/>
      </w:pPr>
      <w:r>
        <w:t xml:space="preserve">Mr. Kalair began to develop the UM </w:t>
      </w:r>
      <w:r w:rsidR="000B5DDA">
        <w:t xml:space="preserve">Sharia mortgage </w:t>
      </w:r>
      <w:r>
        <w:t>business plan in 2003 by researchi</w:t>
      </w:r>
      <w:r w:rsidR="00D42C40">
        <w:t>ng similar successful</w:t>
      </w:r>
      <w:r>
        <w:t xml:space="preserve"> business models in other countries of the world. Mr. Kalair knew that a venture like this one would require a lot of capital. He approached over seventy financial lending institutions looking for the right partner. He settled on the Credit Union Central of Ontario (hereinafter referred to as “CUCO”</w:t>
      </w:r>
      <w:r w:rsidR="00252B12">
        <w:t xml:space="preserve"> or its successor, Central One or “C1”</w:t>
      </w:r>
      <w:r>
        <w:t xml:space="preserve">) and worked with their management for almost two years to develop the business model. </w:t>
      </w:r>
      <w:r w:rsidR="00D42C40">
        <w:t xml:space="preserve">His main point of contact at CUCO was Mr. Jens Lohmueller. </w:t>
      </w:r>
    </w:p>
    <w:p w14:paraId="256D90D6" w14:textId="69404600" w:rsidR="004C7B25" w:rsidRDefault="00D42C40" w:rsidP="004C7B25">
      <w:pPr>
        <w:pStyle w:val="ListParagraph"/>
        <w:numPr>
          <w:ilvl w:val="0"/>
          <w:numId w:val="1"/>
        </w:numPr>
        <w:spacing w:after="120" w:line="360" w:lineRule="auto"/>
        <w:ind w:left="0" w:firstLine="0"/>
        <w:contextualSpacing w:val="0"/>
        <w:jc w:val="both"/>
      </w:pPr>
      <w:r>
        <w:t>There are</w:t>
      </w:r>
      <w:r w:rsidR="004C7B25">
        <w:t xml:space="preserve"> many business-lending models</w:t>
      </w:r>
      <w:r>
        <w:t xml:space="preserve"> in the field of Islamic Finance</w:t>
      </w:r>
      <w:r w:rsidR="004C7B25">
        <w:t xml:space="preserve">, but the </w:t>
      </w:r>
      <w:r w:rsidR="00BF1B1A">
        <w:t xml:space="preserve">driving </w:t>
      </w:r>
      <w:r w:rsidR="001961F2">
        <w:t>theme, which governs them all,</w:t>
      </w:r>
      <w:r>
        <w:t xml:space="preserve"> </w:t>
      </w:r>
      <w:r w:rsidR="004C7B25">
        <w:t>is th</w:t>
      </w:r>
      <w:r w:rsidR="00BF1B1A">
        <w:t>e</w:t>
      </w:r>
      <w:r w:rsidR="004C7B25">
        <w:t xml:space="preserve"> </w:t>
      </w:r>
      <w:r w:rsidR="00BF1B1A">
        <w:t xml:space="preserve">prohibition against earning </w:t>
      </w:r>
      <w:r w:rsidR="004C7B25">
        <w:t xml:space="preserve">interest. UM, in concert with CUCO, decided to pursue a “Mudarabah” </w:t>
      </w:r>
      <w:r w:rsidR="00BF733A">
        <w:t xml:space="preserve">limited partnership model </w:t>
      </w:r>
      <w:r w:rsidR="004C7B25">
        <w:t>and “Musharakah” partnership</w:t>
      </w:r>
      <w:r>
        <w:t xml:space="preserve"> model</w:t>
      </w:r>
      <w:r w:rsidR="004C7B25">
        <w:t xml:space="preserve">. </w:t>
      </w:r>
      <w:r>
        <w:t>The Mudarabah partnership existed</w:t>
      </w:r>
      <w:r w:rsidR="004C7B25">
        <w:t xml:space="preserve"> between UM and CUCO and the Musharakah between UM and the consumer of the product, otherwise known as the homeowners. Both </w:t>
      </w:r>
      <w:r>
        <w:t>partnerships had to be</w:t>
      </w:r>
      <w:r w:rsidR="004C7B25">
        <w:t xml:space="preserve"> Sharia compliant</w:t>
      </w:r>
      <w:r w:rsidR="004C7B25">
        <w:rPr>
          <w:b/>
        </w:rPr>
        <w:t xml:space="preserve"> </w:t>
      </w:r>
      <w:r w:rsidR="004C7B25">
        <w:t xml:space="preserve">for the product to be in accordance with Islamic law. </w:t>
      </w:r>
    </w:p>
    <w:p w14:paraId="775A1EBB" w14:textId="28416B26" w:rsidR="004C7B25" w:rsidRDefault="004C7B25" w:rsidP="004C7B25">
      <w:pPr>
        <w:pStyle w:val="ListParagraph"/>
        <w:numPr>
          <w:ilvl w:val="0"/>
          <w:numId w:val="1"/>
        </w:numPr>
        <w:spacing w:after="120" w:line="360" w:lineRule="auto"/>
        <w:ind w:left="0" w:firstLine="0"/>
        <w:contextualSpacing w:val="0"/>
        <w:jc w:val="both"/>
      </w:pPr>
      <w:r>
        <w:lastRenderedPageBreak/>
        <w:t>CUCO worked actively with UM to formulate contracts that accord with Islamic law, whether that meant changing the traditional terminology, waiving traditional processes</w:t>
      </w:r>
      <w:r w:rsidR="00BF1B1A">
        <w:t>, or taking other steps that would have been viewed as unconventional to traditional creditor/debtor models but were necessary in a sharia-compliant model</w:t>
      </w:r>
      <w:r>
        <w:t>. UM was proud to be working with CUCO</w:t>
      </w:r>
      <w:r w:rsidR="00BF1B1A">
        <w:t xml:space="preserve"> and lauded</w:t>
      </w:r>
      <w:r>
        <w:t xml:space="preserve"> </w:t>
      </w:r>
      <w:r w:rsidR="00BF1B1A">
        <w:t xml:space="preserve">the unique creative relationship often on their </w:t>
      </w:r>
      <w:r>
        <w:t xml:space="preserve">website and in media articles. </w:t>
      </w:r>
      <w:r w:rsidR="000059D7">
        <w:t>CUCO</w:t>
      </w:r>
      <w:r w:rsidR="00BF1B1A">
        <w:t>’s early</w:t>
      </w:r>
      <w:r w:rsidR="000059D7">
        <w:t xml:space="preserve"> documents</w:t>
      </w:r>
      <w:r w:rsidR="00BF1B1A">
        <w:t xml:space="preserve"> during the product development and launch phase leave no doubt</w:t>
      </w:r>
      <w:r>
        <w:t xml:space="preserve"> that the foundational concepts </w:t>
      </w:r>
      <w:r w:rsidR="00BF1B1A">
        <w:t xml:space="preserve">of their relationship with UM were rooted in </w:t>
      </w:r>
      <w:r>
        <w:t>Is</w:t>
      </w:r>
      <w:r w:rsidR="000059D7">
        <w:t xml:space="preserve">lamic Law and Sharia compliance. </w:t>
      </w:r>
    </w:p>
    <w:p w14:paraId="5759E697" w14:textId="561A8786" w:rsidR="004C7B25" w:rsidRPr="001F4229" w:rsidRDefault="004C7B25" w:rsidP="004C7B25">
      <w:pPr>
        <w:pStyle w:val="ListParagraph"/>
        <w:numPr>
          <w:ilvl w:val="0"/>
          <w:numId w:val="1"/>
        </w:numPr>
        <w:spacing w:after="120" w:line="360" w:lineRule="auto"/>
        <w:ind w:left="0" w:firstLine="0"/>
        <w:contextualSpacing w:val="0"/>
        <w:jc w:val="both"/>
      </w:pPr>
      <w:r>
        <w:t xml:space="preserve">While CUCO and UM </w:t>
      </w:r>
      <w:r w:rsidR="001A34CE">
        <w:t xml:space="preserve">negotiated the </w:t>
      </w:r>
      <w:r w:rsidR="00E36888">
        <w:t xml:space="preserve">terms of </w:t>
      </w:r>
      <w:r>
        <w:t>their product, UM hired a Sharia Ethics Board (hereinafter referred to as the “SEB”) who were to issue religious rulings, k</w:t>
      </w:r>
      <w:r w:rsidR="0012436D">
        <w:t>nown as “fatwas”. A fatwa is</w:t>
      </w:r>
      <w:r>
        <w:t xml:space="preserve"> circulated to the community and signals to them the legitimacy and Sharia compli</w:t>
      </w:r>
      <w:r w:rsidR="0012436D">
        <w:t>ancy of the product. The SEB is required</w:t>
      </w:r>
      <w:r>
        <w:t xml:space="preserve"> to review every c</w:t>
      </w:r>
      <w:r w:rsidR="00B069D5">
        <w:t xml:space="preserve">ontract on a line-by-line basis at the beginning of the business venture and </w:t>
      </w:r>
      <w:r w:rsidR="0012436D">
        <w:t xml:space="preserve">must stay involved over the lifetime of the business </w:t>
      </w:r>
      <w:r w:rsidR="00E36888">
        <w:t>to ensure ongoing Shari</w:t>
      </w:r>
      <w:r w:rsidR="008C0272">
        <w:t>a</w:t>
      </w:r>
      <w:r w:rsidR="00E36888">
        <w:t xml:space="preserve"> compliancy. </w:t>
      </w:r>
      <w:r w:rsidR="00B069D5">
        <w:t>Over the years t</w:t>
      </w:r>
      <w:r>
        <w:t>hey woul</w:t>
      </w:r>
      <w:r w:rsidR="00B069D5">
        <w:t>d have spent hundreds of hours</w:t>
      </w:r>
      <w:r w:rsidR="0012436D">
        <w:t xml:space="preserve"> of their time</w:t>
      </w:r>
      <w:r w:rsidR="00E36888">
        <w:t xml:space="preserve"> engaged in meetings and analysis on behalf of UM to ensure that the CUCO/UM partnership was religiously valid to its end consumers – the homeowners</w:t>
      </w:r>
      <w:r w:rsidR="00B069D5">
        <w:t xml:space="preserve">. </w:t>
      </w:r>
    </w:p>
    <w:p w14:paraId="530167A8" w14:textId="2DD8B3BA" w:rsidR="00C34169" w:rsidRDefault="00B069D5" w:rsidP="00C87CF5">
      <w:pPr>
        <w:pStyle w:val="ListParagraph"/>
        <w:numPr>
          <w:ilvl w:val="0"/>
          <w:numId w:val="1"/>
        </w:numPr>
        <w:spacing w:after="120" w:line="360" w:lineRule="auto"/>
        <w:ind w:left="0" w:firstLine="0"/>
        <w:contextualSpacing w:val="0"/>
        <w:jc w:val="both"/>
      </w:pPr>
      <w:r>
        <w:t xml:space="preserve">CUCO, UM and the </w:t>
      </w:r>
      <w:r w:rsidR="00E36888">
        <w:t>homeowners</w:t>
      </w:r>
      <w:r>
        <w:t xml:space="preserve"> relied on the fatwas and</w:t>
      </w:r>
      <w:r w:rsidR="00E36888">
        <w:t>,</w:t>
      </w:r>
      <w:r>
        <w:t xml:space="preserve"> for a while</w:t>
      </w:r>
      <w:r w:rsidR="0012436D">
        <w:t>,</w:t>
      </w:r>
      <w:r>
        <w:t xml:space="preserve"> the </w:t>
      </w:r>
      <w:r w:rsidR="0012436D">
        <w:t xml:space="preserve">Sharia compliant mortgage </w:t>
      </w:r>
      <w:r>
        <w:t>business was profitable</w:t>
      </w:r>
      <w:r w:rsidR="00E36888">
        <w:t xml:space="preserve"> to all parties</w:t>
      </w:r>
      <w:r>
        <w:t xml:space="preserve">. In two years, CUCO advanced </w:t>
      </w:r>
      <w:r w:rsidR="00226F12">
        <w:t>nearly</w:t>
      </w:r>
      <w:r>
        <w:t xml:space="preserve"> 100 million</w:t>
      </w:r>
      <w:r w:rsidR="009B5AB9">
        <w:t xml:space="preserve"> dollars to UM for approximately 500 homeowner mortgages. </w:t>
      </w:r>
      <w:r w:rsidR="00754A88">
        <w:t>Mr. Kalair</w:t>
      </w:r>
      <w:r w:rsidR="009B5AB9">
        <w:t xml:space="preserve"> was even presenting the </w:t>
      </w:r>
      <w:r w:rsidR="00754A88">
        <w:t xml:space="preserve">successful Sharia compliant finance model </w:t>
      </w:r>
      <w:r w:rsidR="009B5AB9">
        <w:t xml:space="preserve">at international </w:t>
      </w:r>
      <w:r w:rsidR="00E202AF">
        <w:t>conferences</w:t>
      </w:r>
      <w:r w:rsidR="00E36888">
        <w:t xml:space="preserve"> while awarding regular ‘tombstone’ trophies to staff at CUCO to acknowledge their mutual achievement.</w:t>
      </w:r>
      <w:r w:rsidR="009B5AB9">
        <w:t xml:space="preserve"> </w:t>
      </w:r>
      <w:r w:rsidR="001961F2">
        <w:rPr>
          <w:rStyle w:val="FootnoteReference"/>
        </w:rPr>
        <w:footnoteReference w:id="1"/>
      </w:r>
    </w:p>
    <w:p w14:paraId="4734335F" w14:textId="68018526" w:rsidR="009B5AB9" w:rsidRDefault="009B5AB9" w:rsidP="00C87CF5">
      <w:pPr>
        <w:pStyle w:val="ListParagraph"/>
        <w:numPr>
          <w:ilvl w:val="0"/>
          <w:numId w:val="1"/>
        </w:numPr>
        <w:spacing w:after="120" w:line="360" w:lineRule="auto"/>
        <w:ind w:left="0" w:firstLine="0"/>
        <w:contextualSpacing w:val="0"/>
        <w:jc w:val="both"/>
      </w:pPr>
      <w:r>
        <w:t xml:space="preserve">When the credit crisis hit in 2007, </w:t>
      </w:r>
      <w:r w:rsidR="007917CA">
        <w:t>th</w:t>
      </w:r>
      <w:r w:rsidR="00E36888">
        <w:t>e relationship took a disastrous turn for the worse</w:t>
      </w:r>
      <w:r w:rsidR="007917CA">
        <w:t>. CUCO made the unilateral decision not to finance any new mortgages. They reneged on the</w:t>
      </w:r>
      <w:r w:rsidR="00E202AF">
        <w:t>ir</w:t>
      </w:r>
      <w:r w:rsidR="007917CA">
        <w:t xml:space="preserve"> 49 million dollar commitment letter that UM </w:t>
      </w:r>
      <w:r w:rsidR="00E36888">
        <w:t xml:space="preserve">had </w:t>
      </w:r>
      <w:r w:rsidR="007917CA">
        <w:t xml:space="preserve">relied </w:t>
      </w:r>
      <w:r w:rsidR="00E36888">
        <w:t>upon in renewing</w:t>
      </w:r>
      <w:r w:rsidR="007917CA">
        <w:t xml:space="preserve"> their lease and hir</w:t>
      </w:r>
      <w:r w:rsidR="00E36888">
        <w:t>ing</w:t>
      </w:r>
      <w:r w:rsidR="007917CA">
        <w:t xml:space="preserve"> additional staff. Even worse, </w:t>
      </w:r>
      <w:r w:rsidR="00E36888">
        <w:t xml:space="preserve">CUCO – now known </w:t>
      </w:r>
      <w:r w:rsidR="00E36888">
        <w:lastRenderedPageBreak/>
        <w:t xml:space="preserve">as </w:t>
      </w:r>
      <w:r w:rsidR="007917CA">
        <w:t>C1</w:t>
      </w:r>
      <w:r w:rsidR="00E36888">
        <w:t xml:space="preserve"> </w:t>
      </w:r>
      <w:r w:rsidR="00226F12">
        <w:t xml:space="preserve">– </w:t>
      </w:r>
      <w:r w:rsidR="007917CA">
        <w:t>clawed back the profit</w:t>
      </w:r>
      <w:r w:rsidR="00E36888">
        <w:t xml:space="preserve"> margin</w:t>
      </w:r>
      <w:r w:rsidR="007917CA">
        <w:t xml:space="preserve"> that UM </w:t>
      </w:r>
      <w:r w:rsidR="00E36888">
        <w:t xml:space="preserve">had been earning </w:t>
      </w:r>
      <w:r w:rsidR="007917CA">
        <w:t xml:space="preserve">on existing mortgages to the point where </w:t>
      </w:r>
      <w:r w:rsidR="00E36888">
        <w:t>UM was left</w:t>
      </w:r>
      <w:r w:rsidR="007917CA">
        <w:t xml:space="preserve"> servicing </w:t>
      </w:r>
      <w:r w:rsidR="00E36888">
        <w:t xml:space="preserve">many mortgages essentially </w:t>
      </w:r>
      <w:r w:rsidR="001961F2">
        <w:t>for free.</w:t>
      </w:r>
      <w:r w:rsidR="001961F2">
        <w:rPr>
          <w:rStyle w:val="FootnoteReference"/>
        </w:rPr>
        <w:footnoteReference w:id="2"/>
      </w:r>
    </w:p>
    <w:p w14:paraId="334F541A" w14:textId="18167F43" w:rsidR="00A37A22" w:rsidRDefault="00A37A22" w:rsidP="00C87CF5">
      <w:pPr>
        <w:pStyle w:val="ListParagraph"/>
        <w:numPr>
          <w:ilvl w:val="0"/>
          <w:numId w:val="1"/>
        </w:numPr>
        <w:spacing w:after="120" w:line="360" w:lineRule="auto"/>
        <w:ind w:left="0" w:firstLine="0"/>
        <w:contextualSpacing w:val="0"/>
        <w:jc w:val="both"/>
      </w:pPr>
      <w:r>
        <w:t xml:space="preserve">Unsurprisingly, UM was devastated by the turn of events. Their bank account was </w:t>
      </w:r>
      <w:r w:rsidR="00797C98">
        <w:t>disintegrating,</w:t>
      </w:r>
      <w:r>
        <w:t xml:space="preserve"> and their workload remained </w:t>
      </w:r>
      <w:r w:rsidR="00797C98">
        <w:t>crushing</w:t>
      </w:r>
      <w:r>
        <w:t xml:space="preserve">. </w:t>
      </w:r>
      <w:r w:rsidR="00BA0135">
        <w:t xml:space="preserve">They were unable to afford basic services such as an accountant or auditor to ensure that their bank accounts and financials </w:t>
      </w:r>
      <w:r w:rsidR="00E202AF">
        <w:t>were under control</w:t>
      </w:r>
      <w:r w:rsidR="00BA0135">
        <w:t>.</w:t>
      </w:r>
      <w:r w:rsidR="001961F2">
        <w:rPr>
          <w:rStyle w:val="FootnoteReference"/>
        </w:rPr>
        <w:footnoteReference w:id="3"/>
      </w:r>
      <w:r w:rsidR="00BA0135">
        <w:t xml:space="preserve"> Although there were efforts to transfer the mortgage portfolio to over alternative financial lenders, </w:t>
      </w:r>
      <w:r w:rsidR="00E202AF">
        <w:t>this was without success.</w:t>
      </w:r>
    </w:p>
    <w:p w14:paraId="224FDEA0" w14:textId="761B376C" w:rsidR="00BA0135" w:rsidRDefault="00BA0135" w:rsidP="00C87CF5">
      <w:pPr>
        <w:pStyle w:val="ListParagraph"/>
        <w:numPr>
          <w:ilvl w:val="0"/>
          <w:numId w:val="1"/>
        </w:numPr>
        <w:spacing w:after="120" w:line="360" w:lineRule="auto"/>
        <w:ind w:left="0" w:firstLine="0"/>
        <w:contextualSpacing w:val="0"/>
        <w:jc w:val="both"/>
      </w:pPr>
      <w:r>
        <w:t xml:space="preserve">In </w:t>
      </w:r>
      <w:r w:rsidR="00226F12">
        <w:t xml:space="preserve">November </w:t>
      </w:r>
      <w:r>
        <w:t xml:space="preserve">2010, C1, advised that they would </w:t>
      </w:r>
      <w:r w:rsidR="00226F12">
        <w:t>be terminating the relationship</w:t>
      </w:r>
      <w:r>
        <w:t>.</w:t>
      </w:r>
      <w:r w:rsidR="009807A3">
        <w:rPr>
          <w:rStyle w:val="FootnoteReference"/>
        </w:rPr>
        <w:footnoteReference w:id="4"/>
      </w:r>
      <w:r w:rsidR="009807A3">
        <w:t xml:space="preserve"> </w:t>
      </w:r>
      <w:r>
        <w:t xml:space="preserve">Not only was UM not able to </w:t>
      </w:r>
      <w:r w:rsidR="005F728F">
        <w:t>acquire</w:t>
      </w:r>
      <w:r>
        <w:t xml:space="preserve"> new business, they could not continue to profit off the business </w:t>
      </w:r>
      <w:r w:rsidR="005F728F">
        <w:t>already in their pipeline</w:t>
      </w:r>
      <w:r>
        <w:t xml:space="preserve">. </w:t>
      </w:r>
    </w:p>
    <w:p w14:paraId="338A7D83" w14:textId="060CDCC8" w:rsidR="00A37A22" w:rsidRDefault="00BA0135" w:rsidP="00C87CF5">
      <w:pPr>
        <w:pStyle w:val="ListParagraph"/>
        <w:numPr>
          <w:ilvl w:val="0"/>
          <w:numId w:val="1"/>
        </w:numPr>
        <w:spacing w:after="120" w:line="360" w:lineRule="auto"/>
        <w:ind w:left="0" w:firstLine="0"/>
        <w:contextualSpacing w:val="0"/>
        <w:jc w:val="both"/>
      </w:pPr>
      <w:r>
        <w:t xml:space="preserve">In 2011, </w:t>
      </w:r>
      <w:r w:rsidR="00E202AF">
        <w:t xml:space="preserve">C1 </w:t>
      </w:r>
      <w:r w:rsidR="00A37A22">
        <w:t xml:space="preserve">made the decision to </w:t>
      </w:r>
      <w:r w:rsidR="00226F12">
        <w:t>file for notice of receivership</w:t>
      </w:r>
      <w:r w:rsidR="009807A3">
        <w:t>.</w:t>
      </w:r>
      <w:r w:rsidR="009807A3">
        <w:rPr>
          <w:rStyle w:val="FootnoteReference"/>
        </w:rPr>
        <w:footnoteReference w:id="5"/>
      </w:r>
      <w:r w:rsidR="009807A3">
        <w:t xml:space="preserve"> </w:t>
      </w:r>
      <w:r>
        <w:t>Mr. Kalair</w:t>
      </w:r>
      <w:r w:rsidR="00E202AF">
        <w:t>,</w:t>
      </w:r>
      <w:r>
        <w:t xml:space="preserve"> on behalf of UM</w:t>
      </w:r>
      <w:r w:rsidR="00E202AF">
        <w:t>,</w:t>
      </w:r>
      <w:r>
        <w:t xml:space="preserve"> was spending all of his waking hours attempting to find an alternative funder. The very few employees who were left at UM were finding it increasingly difficult to keep up with </w:t>
      </w:r>
      <w:r w:rsidR="00226F12">
        <w:t xml:space="preserve">day to day operations, </w:t>
      </w:r>
      <w:r>
        <w:t>lum</w:t>
      </w:r>
      <w:r w:rsidR="00E202AF">
        <w:t>p sum payments</w:t>
      </w:r>
      <w:r w:rsidR="00226F12">
        <w:t>,</w:t>
      </w:r>
      <w:r w:rsidR="00E202AF">
        <w:t xml:space="preserve"> and mortgage closings</w:t>
      </w:r>
      <w:r>
        <w:t>. Money was</w:t>
      </w:r>
      <w:r w:rsidR="00E202AF">
        <w:t xml:space="preserve"> slowly</w:t>
      </w:r>
      <w:r>
        <w:t xml:space="preserve"> building in t</w:t>
      </w:r>
      <w:r w:rsidR="003D313F">
        <w:t>he UM bank account as a result.</w:t>
      </w:r>
      <w:r w:rsidR="003D313F">
        <w:rPr>
          <w:rStyle w:val="FootnoteReference"/>
        </w:rPr>
        <w:footnoteReference w:id="6"/>
      </w:r>
    </w:p>
    <w:p w14:paraId="1DF4978C" w14:textId="295EB06D" w:rsidR="00BA0135" w:rsidRDefault="00BA0135" w:rsidP="00C87CF5">
      <w:pPr>
        <w:pStyle w:val="ListParagraph"/>
        <w:numPr>
          <w:ilvl w:val="0"/>
          <w:numId w:val="1"/>
        </w:numPr>
        <w:spacing w:after="120" w:line="360" w:lineRule="auto"/>
        <w:ind w:left="0" w:firstLine="0"/>
        <w:contextualSpacing w:val="0"/>
        <w:jc w:val="both"/>
      </w:pPr>
      <w:r>
        <w:t>As was always Mr. Kalair’s understanding, in accordance with Islamic finance and the rules of a Mudarabah, the money in UM</w:t>
      </w:r>
      <w:r w:rsidR="005F728F">
        <w:t>’</w:t>
      </w:r>
      <w:r>
        <w:t xml:space="preserve">s bank account was </w:t>
      </w:r>
      <w:r w:rsidR="005F728F">
        <w:t>available to UM</w:t>
      </w:r>
      <w:r>
        <w:t xml:space="preserve"> to pay for </w:t>
      </w:r>
      <w:r w:rsidR="005F728F">
        <w:t xml:space="preserve">the </w:t>
      </w:r>
      <w:r>
        <w:t>expenses</w:t>
      </w:r>
      <w:r w:rsidR="005F728F">
        <w:t xml:space="preserve"> of the joint venture</w:t>
      </w:r>
      <w:r>
        <w:t xml:space="preserve">. </w:t>
      </w:r>
      <w:r w:rsidR="005F728F">
        <w:t xml:space="preserve">The start of the legal receivership process in </w:t>
      </w:r>
      <w:r>
        <w:t xml:space="preserve">2011 </w:t>
      </w:r>
      <w:r w:rsidR="005F728F">
        <w:t>added significant legal expenses to UM’s already strained budget.</w:t>
      </w:r>
      <w:r>
        <w:t xml:space="preserve"> </w:t>
      </w:r>
    </w:p>
    <w:p w14:paraId="4B6DDDDF" w14:textId="14917B45" w:rsidR="00BA0135" w:rsidRDefault="00BA0135" w:rsidP="00C87CF5">
      <w:pPr>
        <w:pStyle w:val="ListParagraph"/>
        <w:numPr>
          <w:ilvl w:val="0"/>
          <w:numId w:val="1"/>
        </w:numPr>
        <w:spacing w:after="120" w:line="360" w:lineRule="auto"/>
        <w:ind w:left="0" w:firstLine="0"/>
        <w:contextualSpacing w:val="0"/>
        <w:jc w:val="both"/>
      </w:pPr>
      <w:r>
        <w:t xml:space="preserve">Meanwhile, the SEB had still not been paid for the work they had done since the inception of UM in 2004. Although </w:t>
      </w:r>
      <w:r w:rsidR="00EE34C7">
        <w:t>the SEB’s main concern, like UM’s,</w:t>
      </w:r>
      <w:r>
        <w:t xml:space="preserve"> was to ensure that the mortgages remained Sharia compliant for the sake of the </w:t>
      </w:r>
      <w:r>
        <w:lastRenderedPageBreak/>
        <w:t xml:space="preserve">homeowners, the SEB was also </w:t>
      </w:r>
      <w:r w:rsidR="005F728F">
        <w:t xml:space="preserve">growing </w:t>
      </w:r>
      <w:r>
        <w:t>worried that the</w:t>
      </w:r>
      <w:r w:rsidR="005F728F">
        <w:t>ir work</w:t>
      </w:r>
      <w:r>
        <w:t xml:space="preserve"> would never be paid. </w:t>
      </w:r>
    </w:p>
    <w:p w14:paraId="3D62758C" w14:textId="320FE4EF" w:rsidR="00E832F2" w:rsidRDefault="00E832F2" w:rsidP="00E832F2">
      <w:pPr>
        <w:pStyle w:val="ListParagraph"/>
        <w:numPr>
          <w:ilvl w:val="0"/>
          <w:numId w:val="1"/>
        </w:numPr>
        <w:spacing w:after="120" w:line="360" w:lineRule="auto"/>
        <w:ind w:left="0" w:firstLine="0"/>
        <w:contextualSpacing w:val="0"/>
        <w:jc w:val="both"/>
      </w:pPr>
      <w:r>
        <w:t xml:space="preserve">Acting under </w:t>
      </w:r>
      <w:r w:rsidR="005F728F">
        <w:t xml:space="preserve">instructions from </w:t>
      </w:r>
      <w:r>
        <w:t>the SEB</w:t>
      </w:r>
      <w:r w:rsidR="005F728F">
        <w:t xml:space="preserve"> as expressed by Mr. Panchbhaya</w:t>
      </w:r>
      <w:r>
        <w:t xml:space="preserve">, Mr. Kalair </w:t>
      </w:r>
      <w:r w:rsidR="005F728F">
        <w:t>made substantial (but incomplete payment) on a an invoice prepared on behalf of the SEB in their newly constituted corporate from is the Multicultural Consultanc</w:t>
      </w:r>
      <w:r w:rsidR="009E776C">
        <w:t>y</w:t>
      </w:r>
      <w:r w:rsidR="005F728F">
        <w:t xml:space="preserve"> of Canada (“MCC”). UM and C1 </w:t>
      </w:r>
      <w:r w:rsidR="00EE34C7">
        <w:t>always understood that the</w:t>
      </w:r>
      <w:r w:rsidR="005F728F">
        <w:t xml:space="preserve">re was a price to pay for sharia compliancy and this price would include UM’s scholarly costs on behalf of its SEB. Payment was to be calculated at market rates for their services. Precious metals were obtained by Kalair to effect payment in the form requested by the SEB. With MCC having been hastily incorporated, the SEB had no </w:t>
      </w:r>
      <w:r w:rsidR="009E776C">
        <w:t>bank account in which to receive cash payments.</w:t>
      </w:r>
      <w:r w:rsidR="003D313F">
        <w:rPr>
          <w:rStyle w:val="FootnoteReference"/>
        </w:rPr>
        <w:footnoteReference w:id="7"/>
      </w:r>
      <w:r w:rsidR="009E776C">
        <w:t xml:space="preserve"> Gold and silver</w:t>
      </w:r>
      <w:r w:rsidR="00C308B3">
        <w:t>,</w:t>
      </w:r>
      <w:r w:rsidR="009E776C">
        <w:t xml:space="preserve"> specifically</w:t>
      </w:r>
      <w:r w:rsidR="00C308B3">
        <w:t>,</w:t>
      </w:r>
      <w:r w:rsidR="009E776C">
        <w:t xml:space="preserve"> are </w:t>
      </w:r>
      <w:r w:rsidR="00EE34C7">
        <w:t>asset cla</w:t>
      </w:r>
      <w:r w:rsidR="00C308B3">
        <w:t>uses</w:t>
      </w:r>
      <w:r w:rsidR="009E776C">
        <w:t xml:space="preserve"> with unique cultural and religious significance within </w:t>
      </w:r>
      <w:r>
        <w:t>Islam</w:t>
      </w:r>
      <w:r w:rsidR="009E776C">
        <w:t xml:space="preserve"> (a more expansive discussion of the role of precious metals in Islam follows)</w:t>
      </w:r>
      <w:r>
        <w:t xml:space="preserve">. Although </w:t>
      </w:r>
      <w:r w:rsidR="009E776C">
        <w:t>Kalair</w:t>
      </w:r>
      <w:r>
        <w:t xml:space="preserve"> was aware that there were both local and international scholars who required payment, he did not know</w:t>
      </w:r>
      <w:r w:rsidR="00EE34C7">
        <w:t>,</w:t>
      </w:r>
      <w:r>
        <w:t xml:space="preserve"> and did not think it was his business to know</w:t>
      </w:r>
      <w:r w:rsidR="00EE34C7">
        <w:t>,</w:t>
      </w:r>
      <w:r>
        <w:t xml:space="preserve"> how that payment would be allocated. The SEB was an independent body and UM had followe</w:t>
      </w:r>
      <w:r w:rsidR="00EE34C7">
        <w:t>d</w:t>
      </w:r>
      <w:r w:rsidR="009807A3">
        <w:t xml:space="preserve"> their direction since day one.</w:t>
      </w:r>
      <w:r w:rsidR="009807A3">
        <w:rPr>
          <w:rStyle w:val="FootnoteReference"/>
        </w:rPr>
        <w:footnoteReference w:id="8"/>
      </w:r>
    </w:p>
    <w:p w14:paraId="1766C95C" w14:textId="23E30925" w:rsidR="00E832F2" w:rsidRDefault="00E832F2" w:rsidP="00E832F2">
      <w:pPr>
        <w:pStyle w:val="ListParagraph"/>
        <w:numPr>
          <w:ilvl w:val="0"/>
          <w:numId w:val="1"/>
        </w:numPr>
        <w:spacing w:after="120" w:line="360" w:lineRule="auto"/>
        <w:ind w:left="0" w:firstLine="0"/>
        <w:contextualSpacing w:val="0"/>
        <w:jc w:val="both"/>
      </w:pPr>
      <w:r>
        <w:t xml:space="preserve">In paying this expense, Mr. Kalair believed he was acting in accordance with the </w:t>
      </w:r>
      <w:r w:rsidR="00226F12">
        <w:t>legal</w:t>
      </w:r>
      <w:r>
        <w:t xml:space="preserve"> contracts that governed UM</w:t>
      </w:r>
      <w:r w:rsidR="009E776C">
        <w:t xml:space="preserve"> and in accordance with the mudarabah joint venture that bound UM and CUCO together</w:t>
      </w:r>
      <w:r>
        <w:t>. The contracts permitted</w:t>
      </w:r>
      <w:r w:rsidR="009E776C">
        <w:t xml:space="preserve"> Kalair</w:t>
      </w:r>
      <w:r>
        <w:t xml:space="preserve"> to pay expenses related to the UM business venture from the UM bank account </w:t>
      </w:r>
      <w:r>
        <w:rPr>
          <w:b/>
        </w:rPr>
        <w:t xml:space="preserve">before </w:t>
      </w:r>
      <w:r>
        <w:t xml:space="preserve">he was obligated to remit any funds to Central 1. </w:t>
      </w:r>
    </w:p>
    <w:p w14:paraId="232FEE17" w14:textId="1323E5C4" w:rsidR="00E832F2" w:rsidRDefault="009E776C" w:rsidP="00C87CF5">
      <w:pPr>
        <w:pStyle w:val="ListParagraph"/>
        <w:numPr>
          <w:ilvl w:val="0"/>
          <w:numId w:val="1"/>
        </w:numPr>
        <w:spacing w:after="120" w:line="360" w:lineRule="auto"/>
        <w:ind w:left="0" w:firstLine="0"/>
        <w:contextualSpacing w:val="0"/>
        <w:jc w:val="both"/>
      </w:pPr>
      <w:r>
        <w:t>As will be demonstrated in a further review of the facts and law, t</w:t>
      </w:r>
      <w:r w:rsidR="00E832F2">
        <w:t>h</w:t>
      </w:r>
      <w:r>
        <w:t>ere</w:t>
      </w:r>
      <w:r w:rsidR="00E832F2">
        <w:t xml:space="preserve"> </w:t>
      </w:r>
      <w:r>
        <w:t xml:space="preserve">existed a </w:t>
      </w:r>
      <w:r w:rsidR="00E832F2">
        <w:t xml:space="preserve">fundamental </w:t>
      </w:r>
      <w:r>
        <w:t xml:space="preserve">rift between the </w:t>
      </w:r>
      <w:r w:rsidR="00E832F2">
        <w:t xml:space="preserve">understanding </w:t>
      </w:r>
      <w:r>
        <w:t xml:space="preserve">of C1 (following the departure of Mr. Lohmueller) and the understanding of UM </w:t>
      </w:r>
      <w:r w:rsidR="00E832F2">
        <w:t xml:space="preserve">as </w:t>
      </w:r>
      <w:r w:rsidR="00473562">
        <w:t>to what the contracts permitted</w:t>
      </w:r>
      <w:r w:rsidR="00E832F2">
        <w:t xml:space="preserve"> </w:t>
      </w:r>
      <w:r>
        <w:t>and the impact of Sharia law on the contractual relationship. What</w:t>
      </w:r>
      <w:r w:rsidR="00E832F2">
        <w:t xml:space="preserve"> the C</w:t>
      </w:r>
      <w:r w:rsidR="00A37A22" w:rsidRPr="0028332B">
        <w:t>row</w:t>
      </w:r>
      <w:r w:rsidR="00E832F2">
        <w:t xml:space="preserve">n </w:t>
      </w:r>
      <w:r>
        <w:t>characterizes as a</w:t>
      </w:r>
      <w:r w:rsidR="00E832F2">
        <w:t xml:space="preserve"> fraudulent </w:t>
      </w:r>
      <w:r w:rsidR="00BF59A9">
        <w:t>intention,</w:t>
      </w:r>
      <w:r w:rsidR="00E832F2">
        <w:t xml:space="preserve"> </w:t>
      </w:r>
      <w:r w:rsidR="00BF59A9">
        <w:t xml:space="preserve">the </w:t>
      </w:r>
      <w:r w:rsidR="00A37A22" w:rsidRPr="0028332B">
        <w:t>defence says</w:t>
      </w:r>
      <w:r w:rsidR="00E832F2">
        <w:t xml:space="preserve"> is a </w:t>
      </w:r>
      <w:r w:rsidR="00A37A22" w:rsidRPr="0028332B">
        <w:t>produ</w:t>
      </w:r>
      <w:r w:rsidR="00E832F2">
        <w:t xml:space="preserve">ct of </w:t>
      </w:r>
      <w:r w:rsidR="00BF59A9">
        <w:t xml:space="preserve">a </w:t>
      </w:r>
      <w:r w:rsidR="00E832F2">
        <w:lastRenderedPageBreak/>
        <w:t>traditional lending agent,</w:t>
      </w:r>
      <w:r w:rsidR="00FF3C19">
        <w:t xml:space="preserve"> </w:t>
      </w:r>
      <w:r>
        <w:t>with</w:t>
      </w:r>
      <w:r w:rsidR="00A37A22" w:rsidRPr="0028332B">
        <w:t xml:space="preserve"> </w:t>
      </w:r>
      <w:r w:rsidR="00FF3C19">
        <w:t>no</w:t>
      </w:r>
      <w:r w:rsidR="00A37A22" w:rsidRPr="0028332B">
        <w:t xml:space="preserve"> prior experience in Islamic finance</w:t>
      </w:r>
      <w:r w:rsidR="00FF3C19">
        <w:t xml:space="preserve">, </w:t>
      </w:r>
      <w:r w:rsidR="00A37A22" w:rsidRPr="0028332B">
        <w:t>being unable</w:t>
      </w:r>
      <w:r>
        <w:t xml:space="preserve">, </w:t>
      </w:r>
      <w:r w:rsidR="00A37A22" w:rsidRPr="0028332B">
        <w:t>unwilling or incapable of understanding</w:t>
      </w:r>
      <w:r w:rsidR="00BF59A9">
        <w:t xml:space="preserve"> the</w:t>
      </w:r>
      <w:r w:rsidR="00A37A22" w:rsidRPr="0028332B">
        <w:t xml:space="preserve"> unique </w:t>
      </w:r>
      <w:r w:rsidR="00E832F2">
        <w:t xml:space="preserve">nature of the </w:t>
      </w:r>
      <w:r>
        <w:t xml:space="preserve">original sharia </w:t>
      </w:r>
      <w:r w:rsidR="00E832F2">
        <w:t>relationship.</w:t>
      </w:r>
    </w:p>
    <w:p w14:paraId="4E0E0264" w14:textId="4AF8073A" w:rsidR="00A37A22" w:rsidRDefault="00E832F2" w:rsidP="00C87CF5">
      <w:pPr>
        <w:pStyle w:val="ListParagraph"/>
        <w:numPr>
          <w:ilvl w:val="0"/>
          <w:numId w:val="1"/>
        </w:numPr>
        <w:spacing w:after="120" w:line="360" w:lineRule="auto"/>
        <w:ind w:left="0" w:firstLine="0"/>
        <w:contextualSpacing w:val="0"/>
        <w:jc w:val="both"/>
      </w:pPr>
      <w:r>
        <w:t xml:space="preserve"> T</w:t>
      </w:r>
      <w:r w:rsidR="00A37A22" w:rsidRPr="0028332B">
        <w:t>herefore</w:t>
      </w:r>
      <w:r>
        <w:t xml:space="preserve"> it is</w:t>
      </w:r>
      <w:r w:rsidR="00A37A22" w:rsidRPr="0028332B">
        <w:t xml:space="preserve"> not surprising</w:t>
      </w:r>
      <w:r>
        <w:t>,</w:t>
      </w:r>
      <w:r w:rsidR="00A37A22" w:rsidRPr="0028332B">
        <w:t xml:space="preserve"> and not a result of any malicious or criminal intent</w:t>
      </w:r>
      <w:r>
        <w:t xml:space="preserve">, that the parties </w:t>
      </w:r>
      <w:r w:rsidR="00A37A22" w:rsidRPr="0028332B">
        <w:t xml:space="preserve">were often speaking at </w:t>
      </w:r>
      <w:r w:rsidRPr="0028332B">
        <w:t>cross-purposes</w:t>
      </w:r>
      <w:r>
        <w:t>,</w:t>
      </w:r>
      <w:r w:rsidR="00A37A22" w:rsidRPr="0028332B">
        <w:t xml:space="preserve"> </w:t>
      </w:r>
      <w:r w:rsidR="009E776C">
        <w:t>perhaps</w:t>
      </w:r>
      <w:r w:rsidR="00A37A22" w:rsidRPr="0028332B">
        <w:t xml:space="preserve"> not </w:t>
      </w:r>
      <w:r w:rsidR="009E776C">
        <w:t xml:space="preserve">even </w:t>
      </w:r>
      <w:r w:rsidR="00A37A22" w:rsidRPr="0028332B">
        <w:t xml:space="preserve">realizing </w:t>
      </w:r>
      <w:r w:rsidR="009E776C">
        <w:t>the depth of the misunderstanding</w:t>
      </w:r>
      <w:r>
        <w:t xml:space="preserve">. The parties </w:t>
      </w:r>
      <w:r w:rsidR="009E776C">
        <w:t xml:space="preserve">even </w:t>
      </w:r>
      <w:r>
        <w:t xml:space="preserve">had </w:t>
      </w:r>
      <w:r w:rsidR="00A37A22" w:rsidRPr="0028332B">
        <w:t>dif</w:t>
      </w:r>
      <w:r>
        <w:t xml:space="preserve">ferent conceptions about </w:t>
      </w:r>
      <w:r w:rsidR="009E776C">
        <w:t xml:space="preserve">the consequences of a </w:t>
      </w:r>
      <w:r>
        <w:t>receivershi</w:t>
      </w:r>
      <w:r w:rsidR="009E776C">
        <w:t>p.</w:t>
      </w:r>
      <w:r>
        <w:t xml:space="preserve"> UM </w:t>
      </w:r>
      <w:r w:rsidR="009E776C">
        <w:t xml:space="preserve">treated it as the unilateral unwinding of a mudarabah venture by one party, triggering a requirement to clear </w:t>
      </w:r>
      <w:r w:rsidR="00124E37">
        <w:t>all the mudarabah expenses and apportion profits, if any. In the event of a loss – as was clearly to be the case by this point in time, m</w:t>
      </w:r>
      <w:r w:rsidR="00A37A22" w:rsidRPr="0028332B">
        <w:t>ud</w:t>
      </w:r>
      <w:r>
        <w:t>arabah</w:t>
      </w:r>
      <w:r w:rsidR="00124E37">
        <w:t xml:space="preserve"> principles placed the full weight of that loss on the funding partner – C1. C1 however had been blindly treating the relationship as a </w:t>
      </w:r>
      <w:r>
        <w:t xml:space="preserve">traditional </w:t>
      </w:r>
      <w:r w:rsidR="00124E37">
        <w:t xml:space="preserve">commercial </w:t>
      </w:r>
      <w:r>
        <w:t>lending a</w:t>
      </w:r>
      <w:r w:rsidR="00124E37">
        <w:t>greement and failed to see itself as a partner in an investment whose funds would be used to cover the costs of the joint venture</w:t>
      </w:r>
      <w:r>
        <w:t xml:space="preserve">. </w:t>
      </w:r>
    </w:p>
    <w:p w14:paraId="150E78F7" w14:textId="23887C8E" w:rsidR="00A37A22" w:rsidRDefault="00DF4752" w:rsidP="00E832F2">
      <w:pPr>
        <w:pStyle w:val="ListParagraph"/>
        <w:numPr>
          <w:ilvl w:val="0"/>
          <w:numId w:val="1"/>
        </w:numPr>
        <w:spacing w:after="120" w:line="360" w:lineRule="auto"/>
        <w:ind w:left="0" w:firstLine="0"/>
        <w:contextualSpacing w:val="0"/>
        <w:jc w:val="both"/>
      </w:pPr>
      <w:r>
        <w:t xml:space="preserve">The </w:t>
      </w:r>
      <w:r w:rsidR="00055059">
        <w:t>Crown alleges that Mr. Kalair</w:t>
      </w:r>
      <w:r w:rsidR="00A37A22" w:rsidRPr="0028332B">
        <w:t xml:space="preserve"> has </w:t>
      </w:r>
      <w:r w:rsidR="00055059">
        <w:t>an animus towards Central 1</w:t>
      </w:r>
      <w:r w:rsidR="00A37A22" w:rsidRPr="0028332B">
        <w:t xml:space="preserve"> because of </w:t>
      </w:r>
      <w:r w:rsidR="00055059">
        <w:t xml:space="preserve">the </w:t>
      </w:r>
      <w:r w:rsidR="00A37A22" w:rsidRPr="0028332B">
        <w:t xml:space="preserve">failure of </w:t>
      </w:r>
      <w:r w:rsidR="00055059">
        <w:t xml:space="preserve">their </w:t>
      </w:r>
      <w:r w:rsidR="00A37A22" w:rsidRPr="0028332B">
        <w:t xml:space="preserve">relationship and </w:t>
      </w:r>
      <w:r w:rsidR="00055059">
        <w:t>that th</w:t>
      </w:r>
      <w:r w:rsidR="00124E37">
        <w:t>is</w:t>
      </w:r>
      <w:r w:rsidR="00055059">
        <w:t xml:space="preserve"> </w:t>
      </w:r>
      <w:r w:rsidR="00A37A22" w:rsidRPr="0028332B">
        <w:t xml:space="preserve">animus is </w:t>
      </w:r>
      <w:r w:rsidR="00055059">
        <w:t xml:space="preserve">the </w:t>
      </w:r>
      <w:r w:rsidR="00A37A22" w:rsidRPr="0028332B">
        <w:t xml:space="preserve">motive underpinning </w:t>
      </w:r>
      <w:r w:rsidR="00055059">
        <w:t xml:space="preserve">the fraud. </w:t>
      </w:r>
      <w:r w:rsidR="003632C5">
        <w:t>The</w:t>
      </w:r>
      <w:r w:rsidR="00124E37">
        <w:t xml:space="preserve">re is no doubt Kalair felt </w:t>
      </w:r>
      <w:r w:rsidR="00055059">
        <w:t xml:space="preserve">mistreated </w:t>
      </w:r>
      <w:r w:rsidR="00124E37">
        <w:t xml:space="preserve">and aggrieved by C1’s </w:t>
      </w:r>
      <w:r w:rsidR="00A37A22" w:rsidRPr="0028332B">
        <w:t xml:space="preserve">actions, </w:t>
      </w:r>
      <w:r w:rsidR="00124E37">
        <w:t>yet</w:t>
      </w:r>
      <w:r w:rsidR="003632C5">
        <w:t xml:space="preserve"> </w:t>
      </w:r>
      <w:r w:rsidR="00A37A22" w:rsidRPr="0028332B">
        <w:t xml:space="preserve">even years after the receivership, </w:t>
      </w:r>
      <w:r w:rsidR="003632C5">
        <w:t xml:space="preserve">his actions </w:t>
      </w:r>
      <w:r w:rsidR="00A37A22" w:rsidRPr="0028332B">
        <w:t xml:space="preserve">demonstrate </w:t>
      </w:r>
      <w:r w:rsidR="00124E37">
        <w:t>a</w:t>
      </w:r>
      <w:r w:rsidR="00A37A22" w:rsidRPr="0028332B">
        <w:t xml:space="preserve"> relentless </w:t>
      </w:r>
      <w:r w:rsidR="00055059" w:rsidRPr="0028332B">
        <w:t>effort</w:t>
      </w:r>
      <w:r w:rsidR="00A37A22" w:rsidRPr="0028332B">
        <w:t xml:space="preserve"> to </w:t>
      </w:r>
      <w:r w:rsidR="00124E37">
        <w:t>secure</w:t>
      </w:r>
      <w:r w:rsidR="00A37A22" w:rsidRPr="0028332B">
        <w:t xml:space="preserve"> alternative </w:t>
      </w:r>
      <w:r w:rsidR="00055059" w:rsidRPr="0028332B">
        <w:t>sources</w:t>
      </w:r>
      <w:r w:rsidR="00055059">
        <w:t xml:space="preserve"> of financing that would allow </w:t>
      </w:r>
      <w:r w:rsidR="00A37A22" w:rsidRPr="0028332B">
        <w:t>him to repay any c</w:t>
      </w:r>
      <w:r w:rsidR="00055059">
        <w:t>laim by Central 1</w:t>
      </w:r>
      <w:r w:rsidR="003632C5">
        <w:t xml:space="preserve"> and continue a S</w:t>
      </w:r>
      <w:r w:rsidR="00A37A22" w:rsidRPr="0028332B">
        <w:t>haria compliant mortgage business t</w:t>
      </w:r>
      <w:r w:rsidR="003632C5">
        <w:t xml:space="preserve">o the benefit of the homeowners. </w:t>
      </w:r>
    </w:p>
    <w:p w14:paraId="36FC5281" w14:textId="0CB8F5E9" w:rsidR="00A37A22" w:rsidRPr="001F4229" w:rsidRDefault="00055059" w:rsidP="00055059">
      <w:pPr>
        <w:pStyle w:val="ListParagraph"/>
        <w:numPr>
          <w:ilvl w:val="0"/>
          <w:numId w:val="1"/>
        </w:numPr>
        <w:spacing w:after="120" w:line="360" w:lineRule="auto"/>
        <w:ind w:left="0" w:firstLine="0"/>
        <w:contextualSpacing w:val="0"/>
        <w:jc w:val="both"/>
      </w:pPr>
      <w:r>
        <w:t>Mr. Kalair</w:t>
      </w:r>
      <w:r w:rsidR="00124E37">
        <w:t xml:space="preserve">’s constant overriding principle was </w:t>
      </w:r>
      <w:r>
        <w:t>ensuring t</w:t>
      </w:r>
      <w:r w:rsidR="00124E37">
        <w:t>hat</w:t>
      </w:r>
      <w:r>
        <w:t xml:space="preserve"> </w:t>
      </w:r>
      <w:r w:rsidR="003632C5">
        <w:t>homeowner</w:t>
      </w:r>
      <w:r>
        <w:t xml:space="preserve"> mortgages remained Sharia compliant. He was </w:t>
      </w:r>
      <w:r w:rsidR="003632C5">
        <w:t xml:space="preserve">always, and continues to be, </w:t>
      </w:r>
      <w:r>
        <w:t xml:space="preserve">an advocate for Muslim Canadians and </w:t>
      </w:r>
      <w:r w:rsidR="00124E37">
        <w:t>a champion for the integration</w:t>
      </w:r>
      <w:r w:rsidR="003632C5">
        <w:t xml:space="preserve"> Islamic finance</w:t>
      </w:r>
      <w:r w:rsidR="00124E37">
        <w:t xml:space="preserve"> in Western banking relationships.</w:t>
      </w:r>
      <w:r w:rsidR="00FF3C19">
        <w:t xml:space="preserve"> Every homeowner was left whole and neither lost funds, nor risked losing funds, throughout the venture. If C1 suffered loss, it was  the result of business conditions in a failed partnership and not as a result of theft, fraud or misappropriation. </w:t>
      </w:r>
    </w:p>
    <w:p w14:paraId="590C5C37" w14:textId="0EB05807" w:rsidR="002364B6" w:rsidRPr="002F40AB" w:rsidRDefault="00E63B8A" w:rsidP="002F40AB">
      <w:pPr>
        <w:pStyle w:val="Heading1"/>
        <w:spacing w:before="0" w:after="120" w:line="360" w:lineRule="auto"/>
        <w:jc w:val="both"/>
        <w:rPr>
          <w:rFonts w:ascii="Times" w:hAnsi="Times"/>
          <w:color w:val="auto"/>
        </w:rPr>
      </w:pPr>
      <w:bookmarkStart w:id="1" w:name="_Toc411860378"/>
      <w:r w:rsidRPr="001F4229">
        <w:rPr>
          <w:rFonts w:ascii="Times" w:hAnsi="Times"/>
          <w:color w:val="auto"/>
        </w:rPr>
        <w:lastRenderedPageBreak/>
        <w:t xml:space="preserve">II. </w:t>
      </w:r>
      <w:r w:rsidR="004673EE" w:rsidRPr="001F4229">
        <w:rPr>
          <w:rFonts w:ascii="Times" w:hAnsi="Times"/>
          <w:color w:val="auto"/>
        </w:rPr>
        <w:t xml:space="preserve">Position of the </w:t>
      </w:r>
      <w:r w:rsidR="0004089E">
        <w:rPr>
          <w:rFonts w:ascii="Times" w:hAnsi="Times"/>
          <w:color w:val="auto"/>
        </w:rPr>
        <w:t>Defence</w:t>
      </w:r>
      <w:bookmarkEnd w:id="1"/>
    </w:p>
    <w:p w14:paraId="46B4021F" w14:textId="03F431B3" w:rsidR="0004089E" w:rsidRPr="00225414" w:rsidRDefault="0004089E"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 xml:space="preserve">The Crown has repeated in law the errors Central 1 </w:t>
      </w:r>
      <w:r w:rsidR="00E04D93">
        <w:rPr>
          <w:rFonts w:ascii="Times" w:hAnsi="Times" w:cs="Times"/>
        </w:rPr>
        <w:t xml:space="preserve">(“C1”) </w:t>
      </w:r>
      <w:r w:rsidR="00225414">
        <w:rPr>
          <w:rFonts w:ascii="Times" w:hAnsi="Times" w:cs="Times"/>
        </w:rPr>
        <w:t xml:space="preserve">has made in fact. </w:t>
      </w:r>
      <w:r w:rsidRPr="00225414">
        <w:rPr>
          <w:rFonts w:ascii="Times" w:hAnsi="Times" w:cs="Times"/>
        </w:rPr>
        <w:t xml:space="preserve">The </w:t>
      </w:r>
      <w:r w:rsidR="00E04D93">
        <w:rPr>
          <w:rFonts w:ascii="Times" w:hAnsi="Times" w:cs="Times"/>
        </w:rPr>
        <w:t>seminal</w:t>
      </w:r>
      <w:r w:rsidRPr="00225414">
        <w:rPr>
          <w:rFonts w:ascii="Times" w:hAnsi="Times" w:cs="Times"/>
        </w:rPr>
        <w:t xml:space="preserve"> importance of Sharia Law has been entirely discounted, diminished and ignored. </w:t>
      </w:r>
      <w:r w:rsidR="002F40AB" w:rsidRPr="00225414">
        <w:rPr>
          <w:rFonts w:ascii="Times" w:hAnsi="Times" w:cs="Times"/>
        </w:rPr>
        <w:t>The relationship between C</w:t>
      </w:r>
      <w:r w:rsidR="003E0E1C">
        <w:rPr>
          <w:rFonts w:ascii="Times" w:hAnsi="Times" w:cs="Times"/>
        </w:rPr>
        <w:t>1</w:t>
      </w:r>
      <w:r w:rsidR="002F40AB" w:rsidRPr="00225414">
        <w:rPr>
          <w:rFonts w:ascii="Times" w:hAnsi="Times" w:cs="Times"/>
        </w:rPr>
        <w:t xml:space="preserve"> and UM was from beginning to end structured by</w:t>
      </w:r>
      <w:r w:rsidR="003E0E1C">
        <w:rPr>
          <w:rFonts w:ascii="Times" w:hAnsi="Times" w:cs="Times"/>
        </w:rPr>
        <w:t>,</w:t>
      </w:r>
      <w:r w:rsidR="002F40AB" w:rsidRPr="00225414">
        <w:rPr>
          <w:rFonts w:ascii="Times" w:hAnsi="Times" w:cs="Times"/>
        </w:rPr>
        <w:t xml:space="preserve"> and governed in accordance with</w:t>
      </w:r>
      <w:r w:rsidR="003E0E1C">
        <w:rPr>
          <w:rFonts w:ascii="Times" w:hAnsi="Times" w:cs="Times"/>
        </w:rPr>
        <w:t>,</w:t>
      </w:r>
      <w:r w:rsidR="002F40AB" w:rsidRPr="00225414">
        <w:rPr>
          <w:rFonts w:ascii="Times" w:hAnsi="Times" w:cs="Times"/>
        </w:rPr>
        <w:t xml:space="preserve"> Sharia Law principle</w:t>
      </w:r>
      <w:r w:rsidR="003E0E1C">
        <w:rPr>
          <w:rFonts w:ascii="Times" w:hAnsi="Times" w:cs="Times"/>
        </w:rPr>
        <w:t>s</w:t>
      </w:r>
      <w:r w:rsidR="002F40AB" w:rsidRPr="00225414">
        <w:rPr>
          <w:rFonts w:ascii="Times" w:hAnsi="Times" w:cs="Times"/>
        </w:rPr>
        <w:t xml:space="preserve">. C1 intentionally or through negligent inadvertence unilaterally changed that relationship. </w:t>
      </w:r>
    </w:p>
    <w:p w14:paraId="21185DC8" w14:textId="503AA336" w:rsidR="00141843" w:rsidRDefault="002F40AB"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 xml:space="preserve">The defence </w:t>
      </w:r>
      <w:r w:rsidR="0026063B">
        <w:rPr>
          <w:rFonts w:ascii="Times" w:hAnsi="Times" w:cs="Times"/>
        </w:rPr>
        <w:t xml:space="preserve">concedes the physical transfer of money and </w:t>
      </w:r>
      <w:r w:rsidR="00D649FF">
        <w:rPr>
          <w:rFonts w:ascii="Times" w:hAnsi="Times" w:cs="Times"/>
        </w:rPr>
        <w:t>precious metals</w:t>
      </w:r>
      <w:r w:rsidR="0026063B">
        <w:rPr>
          <w:rFonts w:ascii="Times" w:hAnsi="Times" w:cs="Times"/>
        </w:rPr>
        <w:t xml:space="preserve"> took place, but denies any suggestion of deceit, dishonesty, falsehood or fraud</w:t>
      </w:r>
      <w:r w:rsidR="003E0E1C">
        <w:rPr>
          <w:rFonts w:ascii="Times" w:hAnsi="Times" w:cs="Times"/>
        </w:rPr>
        <w:t>.</w:t>
      </w:r>
      <w:r>
        <w:rPr>
          <w:rFonts w:ascii="Times" w:hAnsi="Times" w:cs="Times"/>
        </w:rPr>
        <w:t xml:space="preserve"> </w:t>
      </w:r>
      <w:r w:rsidR="003E0E1C">
        <w:rPr>
          <w:rFonts w:ascii="Times" w:hAnsi="Times" w:cs="Times"/>
        </w:rPr>
        <w:t xml:space="preserve">The Crown has failed in its burden to prove the </w:t>
      </w:r>
      <w:r w:rsidR="003E0E1C">
        <w:rPr>
          <w:rFonts w:ascii="Times" w:hAnsi="Times" w:cs="Times"/>
          <w:i/>
          <w:iCs/>
        </w:rPr>
        <w:t>mens rea</w:t>
      </w:r>
      <w:r w:rsidR="003E0E1C">
        <w:rPr>
          <w:rFonts w:ascii="Times" w:hAnsi="Times" w:cs="Times"/>
        </w:rPr>
        <w:t xml:space="preserve"> beyond a reasonable doubt for each and every count. E</w:t>
      </w:r>
      <w:r>
        <w:rPr>
          <w:rFonts w:ascii="Times" w:hAnsi="Times" w:cs="Times"/>
        </w:rPr>
        <w:t>ven if Mr. Kalair’s understanding of the application of Sharia Law was wrong in law, he at all times honest</w:t>
      </w:r>
      <w:r w:rsidR="00141843">
        <w:rPr>
          <w:rFonts w:ascii="Times" w:hAnsi="Times" w:cs="Times"/>
        </w:rPr>
        <w:t>ly believed</w:t>
      </w:r>
      <w:r w:rsidR="003E0E1C">
        <w:rPr>
          <w:rFonts w:ascii="Times" w:hAnsi="Times" w:cs="Times"/>
        </w:rPr>
        <w:t>,</w:t>
      </w:r>
      <w:r w:rsidR="00141843">
        <w:rPr>
          <w:rFonts w:ascii="Times" w:hAnsi="Times" w:cs="Times"/>
        </w:rPr>
        <w:t xml:space="preserve"> and ha</w:t>
      </w:r>
      <w:r w:rsidR="003E0E1C">
        <w:rPr>
          <w:rFonts w:ascii="Times" w:hAnsi="Times" w:cs="Times"/>
        </w:rPr>
        <w:t>d</w:t>
      </w:r>
      <w:r w:rsidR="00141843">
        <w:rPr>
          <w:rFonts w:ascii="Times" w:hAnsi="Times" w:cs="Times"/>
        </w:rPr>
        <w:t xml:space="preserve"> reasonable g</w:t>
      </w:r>
      <w:r>
        <w:rPr>
          <w:rFonts w:ascii="Times" w:hAnsi="Times" w:cs="Times"/>
        </w:rPr>
        <w:t>rounds to believe</w:t>
      </w:r>
      <w:r w:rsidR="003E0E1C">
        <w:rPr>
          <w:rFonts w:ascii="Times" w:hAnsi="Times" w:cs="Times"/>
        </w:rPr>
        <w:t>,</w:t>
      </w:r>
      <w:r>
        <w:rPr>
          <w:rFonts w:ascii="Times" w:hAnsi="Times" w:cs="Times"/>
        </w:rPr>
        <w:t xml:space="preserve"> that such was the case. </w:t>
      </w:r>
      <w:r w:rsidR="00141843">
        <w:rPr>
          <w:rFonts w:ascii="Times" w:hAnsi="Times" w:cs="Times"/>
        </w:rPr>
        <w:t xml:space="preserve">In dealing with the alleged misappropriated funds, </w:t>
      </w:r>
      <w:r>
        <w:rPr>
          <w:rFonts w:ascii="Times" w:hAnsi="Times" w:cs="Times"/>
        </w:rPr>
        <w:t xml:space="preserve">Mr Kalair acted with colour of right </w:t>
      </w:r>
      <w:r w:rsidR="00141843">
        <w:rPr>
          <w:rFonts w:ascii="Times" w:hAnsi="Times" w:cs="Times"/>
        </w:rPr>
        <w:t>and he dealt with said funds in a way that was lawfully consistent with that colour of right</w:t>
      </w:r>
      <w:r w:rsidR="004D2AE6">
        <w:rPr>
          <w:rFonts w:ascii="Times" w:hAnsi="Times" w:cs="Times"/>
        </w:rPr>
        <w:t xml:space="preserve">. </w:t>
      </w:r>
    </w:p>
    <w:p w14:paraId="3AC333D8" w14:textId="3F22CA7E" w:rsidR="003E0E1C" w:rsidRDefault="003E0E1C"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 xml:space="preserve">With respect to all charges under the </w:t>
      </w:r>
      <w:r>
        <w:rPr>
          <w:rFonts w:ascii="Times" w:hAnsi="Times" w:cs="Times"/>
          <w:i/>
          <w:iCs/>
        </w:rPr>
        <w:t>Bankruptcy and Insolvency Act</w:t>
      </w:r>
      <w:r>
        <w:rPr>
          <w:rFonts w:ascii="Times" w:hAnsi="Times" w:cs="Times"/>
        </w:rPr>
        <w:t xml:space="preserve"> (BIA), the evidence establishes that Mr. Kalair took all reasonable steps under the circumstances to discharge statutory duties. The Crown has failed to prove an absence of due diligence on the part of Mr. Kalair.</w:t>
      </w:r>
    </w:p>
    <w:p w14:paraId="38FC4E24" w14:textId="77777777" w:rsidR="0004089E" w:rsidRPr="0004089E" w:rsidRDefault="0004089E" w:rsidP="0004089E">
      <w:pPr>
        <w:spacing w:after="120" w:line="360" w:lineRule="auto"/>
        <w:jc w:val="both"/>
        <w:rPr>
          <w:rFonts w:ascii="Times" w:hAnsi="Times" w:cs="Times"/>
        </w:rPr>
      </w:pPr>
    </w:p>
    <w:p w14:paraId="2321987D" w14:textId="1FF07B87" w:rsidR="00382B95" w:rsidRPr="004D2AE6" w:rsidRDefault="004D2AE6" w:rsidP="004D2AE6">
      <w:pPr>
        <w:pStyle w:val="Heading2"/>
        <w:rPr>
          <w:i w:val="0"/>
        </w:rPr>
      </w:pPr>
      <w:bookmarkStart w:id="2" w:name="_Toc411860379"/>
      <w:r w:rsidRPr="004D2AE6">
        <w:rPr>
          <w:i w:val="0"/>
        </w:rPr>
        <w:t>The</w:t>
      </w:r>
      <w:r w:rsidR="00382B95" w:rsidRPr="004D2AE6">
        <w:rPr>
          <w:i w:val="0"/>
        </w:rPr>
        <w:t xml:space="preserve"> Charges</w:t>
      </w:r>
      <w:bookmarkEnd w:id="2"/>
    </w:p>
    <w:p w14:paraId="3C4F6FCF" w14:textId="77777777" w:rsidR="00225414" w:rsidRDefault="004D2AE6"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The defenc</w:t>
      </w:r>
      <w:r w:rsidR="00225414">
        <w:rPr>
          <w:rFonts w:ascii="Times" w:hAnsi="Times" w:cs="Times"/>
        </w:rPr>
        <w:t>e submits that the charges can</w:t>
      </w:r>
      <w:r>
        <w:rPr>
          <w:rFonts w:ascii="Times" w:hAnsi="Times" w:cs="Times"/>
        </w:rPr>
        <w:t xml:space="preserve"> be </w:t>
      </w:r>
      <w:r w:rsidR="00225414">
        <w:rPr>
          <w:rFonts w:ascii="Times" w:hAnsi="Times" w:cs="Times"/>
        </w:rPr>
        <w:t xml:space="preserve">conceptually </w:t>
      </w:r>
      <w:r>
        <w:rPr>
          <w:rFonts w:ascii="Times" w:hAnsi="Times" w:cs="Times"/>
        </w:rPr>
        <w:t>separ</w:t>
      </w:r>
      <w:r w:rsidR="00225414">
        <w:rPr>
          <w:rFonts w:ascii="Times" w:hAnsi="Times" w:cs="Times"/>
        </w:rPr>
        <w:t>ated into two distinct groups.</w:t>
      </w:r>
    </w:p>
    <w:p w14:paraId="4F656DE0" w14:textId="49CFABF9" w:rsidR="003E0E1C" w:rsidRDefault="00225414"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T</w:t>
      </w:r>
      <w:r w:rsidR="004D2AE6">
        <w:rPr>
          <w:rFonts w:ascii="Times" w:hAnsi="Times" w:cs="Times"/>
        </w:rPr>
        <w:t>he first group consists of counts one through six (theft x2, fraud x2, money laundering and fraudulent disposition</w:t>
      </w:r>
      <w:r>
        <w:rPr>
          <w:rFonts w:ascii="Times" w:hAnsi="Times" w:cs="Times"/>
        </w:rPr>
        <w:t xml:space="preserve"> under the B</w:t>
      </w:r>
      <w:r w:rsidR="003E0E1C">
        <w:rPr>
          <w:rFonts w:ascii="Times" w:hAnsi="Times" w:cs="Times"/>
        </w:rPr>
        <w:t>IA</w:t>
      </w:r>
      <w:r w:rsidR="004D2AE6">
        <w:rPr>
          <w:rFonts w:ascii="Times" w:hAnsi="Times" w:cs="Times"/>
        </w:rPr>
        <w:t xml:space="preserve">). All of these charges turn on the same facts. </w:t>
      </w:r>
      <w:r w:rsidR="003E0E1C">
        <w:rPr>
          <w:rFonts w:ascii="Times" w:hAnsi="Times" w:cs="Times"/>
        </w:rPr>
        <w:t xml:space="preserve">The defence submits these facts reveal a clear intention by C1 and UM to enter into a </w:t>
      </w:r>
      <w:r w:rsidR="00370AD7">
        <w:rPr>
          <w:rFonts w:ascii="Times" w:hAnsi="Times" w:cs="Times"/>
        </w:rPr>
        <w:t>M</w:t>
      </w:r>
      <w:r w:rsidR="003E0E1C">
        <w:rPr>
          <w:rFonts w:ascii="Times" w:hAnsi="Times" w:cs="Times"/>
        </w:rPr>
        <w:t>udarabah relationship governed by the principles of Islamic Finance, operating within the over-arching structure of Ontario corporate law.</w:t>
      </w:r>
    </w:p>
    <w:p w14:paraId="5336888A" w14:textId="77777777" w:rsidR="00532D98" w:rsidRDefault="003E0E1C"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 xml:space="preserve">Contracts were drafted, edited, and finalized with a clear intention to respect and incorporate the Islamic Finance </w:t>
      </w:r>
      <w:r w:rsidR="00532D98">
        <w:rPr>
          <w:rFonts w:ascii="Times" w:hAnsi="Times" w:cs="Times"/>
        </w:rPr>
        <w:t xml:space="preserve">framework necessary to satisfy the unique clientele seeking out the new C1/UM product. C1 and UM were to be engaged in a form of joint venture or limited partnership rather than a traditional debtor/creditor relationship. That structure created an accepted risk of loss on the part of C1 while simultaneously recognizing that there would be expenses borne by UM to ensure Sharia compliance and </w:t>
      </w:r>
      <w:r w:rsidR="00532D98">
        <w:rPr>
          <w:rFonts w:ascii="Times" w:hAnsi="Times" w:cs="Times"/>
        </w:rPr>
        <w:lastRenderedPageBreak/>
        <w:t>certification of the venture. These costs included, amongst other things, industry standard payments to UM’s Sharia Ethics Board (SEB).</w:t>
      </w:r>
    </w:p>
    <w:p w14:paraId="18FD8DE6" w14:textId="01C9D17B" w:rsidR="00532D98" w:rsidRDefault="00532D98"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 xml:space="preserve">Payments by homeowners to UM were contractually permitted to be utilized by UM to pay C1 its share of the profits (if any), to pay UM its share of the profits (if any) and to pay the various expenses of the joint venture including those associated with the SEB. So long as there was a continuing pipeline of new homeowners, UM was prepared to defer some profits and the SEB was prepared to defer payment of its expense. However, C1’s unilateral business decision to curtail the project mid-stream created a cascade failure that triggered the abrupt end of the mudarabah. This left Mr. Kalair in an impossible position. He faced demands for payments from the SEB (later incorporated as MCC), </w:t>
      </w:r>
      <w:r w:rsidR="00AB0FF3">
        <w:rPr>
          <w:rFonts w:ascii="Times" w:hAnsi="Times" w:cs="Times"/>
        </w:rPr>
        <w:t>demands for payment from C1 (who refused to account for either their responsibility for the venture’s failure, nor for their share of the losses that would be caused by unilaterally withdrawing funding), and demands from homeowners who had an expectation that the financial product they had purchased remained at all times sharia-compliant.</w:t>
      </w:r>
    </w:p>
    <w:p w14:paraId="195C8C20" w14:textId="60F8110E" w:rsidR="00E40C37" w:rsidRPr="00F55771" w:rsidRDefault="00AB0FF3"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 xml:space="preserve">Mr. Kalair struggled mightily to balance these competing demands in an increasingly challenging and chaotic environment. </w:t>
      </w:r>
      <w:r w:rsidR="00F55771">
        <w:rPr>
          <w:rFonts w:ascii="Times" w:hAnsi="Times" w:cs="Times"/>
        </w:rPr>
        <w:t xml:space="preserve">Kalair utilized </w:t>
      </w:r>
      <w:r w:rsidR="00BC35C9">
        <w:rPr>
          <w:rFonts w:ascii="Times" w:hAnsi="Times" w:cs="Times"/>
        </w:rPr>
        <w:t xml:space="preserve">funds in the UM account which consisted of accumulated profits and </w:t>
      </w:r>
      <w:r w:rsidR="00F55771">
        <w:rPr>
          <w:rFonts w:ascii="Times" w:hAnsi="Times" w:cs="Times"/>
        </w:rPr>
        <w:t xml:space="preserve">a portion of homeowner funds to cover the costs associated with closing out the mudarabah venture. The vast majority of these costs related to paying UM’s commitment to the shariah scholars (both at home and abroad to Kalair’s knowledge). Kalair at all times understood that the mudarabah </w:t>
      </w:r>
      <w:r w:rsidR="00F55771" w:rsidRPr="00F55771">
        <w:rPr>
          <w:rFonts w:ascii="Times" w:hAnsi="Times" w:cs="Times"/>
        </w:rPr>
        <w:t xml:space="preserve">authorized him to </w:t>
      </w:r>
      <w:r w:rsidR="00F55771">
        <w:rPr>
          <w:rFonts w:ascii="Times" w:hAnsi="Times" w:cs="Times"/>
        </w:rPr>
        <w:t xml:space="preserve">use </w:t>
      </w:r>
      <w:r w:rsidR="00BC35C9">
        <w:rPr>
          <w:rFonts w:ascii="Times" w:hAnsi="Times" w:cs="Times"/>
        </w:rPr>
        <w:t xml:space="preserve">funds in the UM account </w:t>
      </w:r>
      <w:r w:rsidR="00F55771">
        <w:rPr>
          <w:rFonts w:ascii="Times" w:hAnsi="Times" w:cs="Times"/>
        </w:rPr>
        <w:t xml:space="preserve">to cover these expenses. If this generated a shortfall, in accordance with the rules of Islamic Finance, that shortfall would be borne by the funding partner in the mudarabah – C1. Even if Kalair was </w:t>
      </w:r>
      <w:r w:rsidR="00F55771">
        <w:rPr>
          <w:rFonts w:ascii="Times" w:hAnsi="Times" w:cs="Times"/>
          <w:i/>
          <w:iCs/>
        </w:rPr>
        <w:t xml:space="preserve">wrong </w:t>
      </w:r>
      <w:r w:rsidR="00F55771">
        <w:rPr>
          <w:rFonts w:ascii="Times" w:hAnsi="Times" w:cs="Times"/>
        </w:rPr>
        <w:t xml:space="preserve">in his </w:t>
      </w:r>
      <w:r w:rsidR="004D2AE6" w:rsidRPr="00F55771">
        <w:rPr>
          <w:rFonts w:ascii="Times" w:hAnsi="Times" w:cs="Times"/>
        </w:rPr>
        <w:t xml:space="preserve">interpretation </w:t>
      </w:r>
      <w:r w:rsidR="00F55771">
        <w:rPr>
          <w:rFonts w:ascii="Times" w:hAnsi="Times" w:cs="Times"/>
        </w:rPr>
        <w:t>or application of sharia law,</w:t>
      </w:r>
      <w:r w:rsidR="004D2AE6" w:rsidRPr="00F55771">
        <w:rPr>
          <w:rFonts w:ascii="Times" w:hAnsi="Times" w:cs="Times"/>
        </w:rPr>
        <w:t xml:space="preserve"> if he h</w:t>
      </w:r>
      <w:r w:rsidR="00F55771">
        <w:rPr>
          <w:rFonts w:ascii="Times" w:hAnsi="Times" w:cs="Times"/>
        </w:rPr>
        <w:t>eld</w:t>
      </w:r>
      <w:r w:rsidR="004D2AE6" w:rsidRPr="00F55771">
        <w:rPr>
          <w:rFonts w:ascii="Times" w:hAnsi="Times" w:cs="Times"/>
        </w:rPr>
        <w:t xml:space="preserve"> an honest</w:t>
      </w:r>
      <w:r w:rsidR="00F55771">
        <w:rPr>
          <w:rFonts w:ascii="Times" w:hAnsi="Times" w:cs="Times"/>
        </w:rPr>
        <w:t xml:space="preserve"> but mistaken</w:t>
      </w:r>
      <w:r w:rsidR="004D2AE6" w:rsidRPr="00F55771">
        <w:rPr>
          <w:rFonts w:ascii="Times" w:hAnsi="Times" w:cs="Times"/>
        </w:rPr>
        <w:t xml:space="preserve"> belief that h</w:t>
      </w:r>
      <w:r w:rsidR="00F55771">
        <w:rPr>
          <w:rFonts w:ascii="Times" w:hAnsi="Times" w:cs="Times"/>
        </w:rPr>
        <w:t xml:space="preserve">e was acting appropriately under the circumstances, he must be found not guilty of </w:t>
      </w:r>
      <w:r w:rsidR="004D2AE6" w:rsidRPr="00F55771">
        <w:rPr>
          <w:rFonts w:ascii="Times" w:hAnsi="Times" w:cs="Times"/>
        </w:rPr>
        <w:t xml:space="preserve">of counts one through six. </w:t>
      </w:r>
    </w:p>
    <w:p w14:paraId="7927F725" w14:textId="1696D0D7" w:rsidR="00E40C37" w:rsidRDefault="00E40C37"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The second group consists of the remaining two charges under the Bankruptcy and Insolvency Act</w:t>
      </w:r>
      <w:r w:rsidR="008552E4">
        <w:rPr>
          <w:rFonts w:ascii="Times" w:hAnsi="Times" w:cs="Times"/>
        </w:rPr>
        <w:t xml:space="preserve">: </w:t>
      </w:r>
      <w:r>
        <w:rPr>
          <w:rFonts w:ascii="Times" w:hAnsi="Times" w:cs="Times"/>
        </w:rPr>
        <w:t>failure to perform the duties of a bankrupt and unlawful refusal or neglect to an</w:t>
      </w:r>
      <w:r w:rsidR="008552E4">
        <w:rPr>
          <w:rFonts w:ascii="Times" w:hAnsi="Times" w:cs="Times"/>
        </w:rPr>
        <w:t>swer fully and truthfully. The</w:t>
      </w:r>
      <w:r>
        <w:rPr>
          <w:rFonts w:ascii="Times" w:hAnsi="Times" w:cs="Times"/>
        </w:rPr>
        <w:t xml:space="preserve"> merits of these charges will be dealt with </w:t>
      </w:r>
      <w:r w:rsidR="00A30374">
        <w:rPr>
          <w:rFonts w:ascii="Times" w:hAnsi="Times" w:cs="Times"/>
        </w:rPr>
        <w:t xml:space="preserve">by reference to the evidence of </w:t>
      </w:r>
      <w:r>
        <w:rPr>
          <w:rFonts w:ascii="Times" w:hAnsi="Times" w:cs="Times"/>
        </w:rPr>
        <w:t xml:space="preserve">Mr. Dupont, Mr. Thompson and Mr. Kalair. </w:t>
      </w:r>
      <w:r w:rsidR="00A30374">
        <w:rPr>
          <w:rFonts w:ascii="Times" w:hAnsi="Times" w:cs="Times"/>
        </w:rPr>
        <w:t>T</w:t>
      </w:r>
      <w:r>
        <w:rPr>
          <w:rFonts w:ascii="Times" w:hAnsi="Times" w:cs="Times"/>
        </w:rPr>
        <w:t xml:space="preserve">he defence submits that Kalair adequately performed the duties of a bankrupt and answered all questions posed to him </w:t>
      </w:r>
      <w:r w:rsidR="00F513D8">
        <w:rPr>
          <w:rFonts w:ascii="Times" w:hAnsi="Times" w:cs="Times"/>
        </w:rPr>
        <w:t>to the best of his ability</w:t>
      </w:r>
      <w:r>
        <w:rPr>
          <w:rFonts w:ascii="Times" w:hAnsi="Times" w:cs="Times"/>
        </w:rPr>
        <w:t xml:space="preserve">. </w:t>
      </w:r>
      <w:r w:rsidR="00F513D8">
        <w:rPr>
          <w:rFonts w:ascii="Times" w:hAnsi="Times" w:cs="Times"/>
        </w:rPr>
        <w:t>Kalair took all reasonable steps under very trying circumstances to discharge his duties under the BIA.</w:t>
      </w:r>
    </w:p>
    <w:p w14:paraId="57DA0520" w14:textId="77777777" w:rsidR="005604EC" w:rsidRPr="004D2AE6" w:rsidRDefault="005604EC" w:rsidP="005604EC">
      <w:pPr>
        <w:pStyle w:val="ListParagraph"/>
        <w:spacing w:after="120" w:line="360" w:lineRule="auto"/>
        <w:ind w:left="0"/>
        <w:contextualSpacing w:val="0"/>
        <w:jc w:val="both"/>
        <w:rPr>
          <w:rFonts w:ascii="Times" w:hAnsi="Times" w:cs="Times"/>
        </w:rPr>
      </w:pPr>
    </w:p>
    <w:p w14:paraId="08264C89" w14:textId="0C914DB8" w:rsidR="004D2FB2" w:rsidRPr="001F4229" w:rsidRDefault="006F6A4B" w:rsidP="000B1B1B">
      <w:pPr>
        <w:pStyle w:val="Heading1"/>
        <w:spacing w:before="0" w:after="120" w:line="360" w:lineRule="auto"/>
        <w:jc w:val="both"/>
        <w:rPr>
          <w:rFonts w:ascii="Times" w:hAnsi="Times"/>
          <w:color w:val="auto"/>
        </w:rPr>
      </w:pPr>
      <w:bookmarkStart w:id="3" w:name="_Toc411860380"/>
      <w:r w:rsidRPr="001F4229">
        <w:rPr>
          <w:rFonts w:ascii="Times" w:hAnsi="Times"/>
          <w:color w:val="auto"/>
        </w:rPr>
        <w:lastRenderedPageBreak/>
        <w:t>III</w:t>
      </w:r>
      <w:r w:rsidR="00E63B8A" w:rsidRPr="001F4229">
        <w:rPr>
          <w:rFonts w:ascii="Times" w:hAnsi="Times"/>
          <w:color w:val="auto"/>
        </w:rPr>
        <w:t xml:space="preserve">. </w:t>
      </w:r>
      <w:r w:rsidR="007A4F68" w:rsidRPr="001F4229">
        <w:rPr>
          <w:rFonts w:ascii="Times" w:hAnsi="Times"/>
          <w:color w:val="auto"/>
        </w:rPr>
        <w:t>The Law</w:t>
      </w:r>
      <w:bookmarkEnd w:id="3"/>
      <w:r w:rsidR="004D2FB2" w:rsidRPr="001F4229">
        <w:rPr>
          <w:rFonts w:ascii="Times" w:hAnsi="Times"/>
          <w:color w:val="auto"/>
        </w:rPr>
        <w:t xml:space="preserve"> </w:t>
      </w:r>
    </w:p>
    <w:p w14:paraId="29AD3542" w14:textId="18E5F30C" w:rsidR="002E5AA2" w:rsidRDefault="008F50DF" w:rsidP="00696B5C">
      <w:pPr>
        <w:numPr>
          <w:ilvl w:val="0"/>
          <w:numId w:val="1"/>
        </w:numPr>
        <w:suppressAutoHyphens/>
        <w:spacing w:after="120" w:line="360" w:lineRule="auto"/>
        <w:ind w:left="0" w:firstLine="0"/>
        <w:jc w:val="both"/>
        <w:rPr>
          <w:rFonts w:ascii="Times" w:hAnsi="Times" w:cs="Times"/>
        </w:rPr>
      </w:pPr>
      <w:r w:rsidRPr="001F4229">
        <w:rPr>
          <w:rFonts w:ascii="Times" w:hAnsi="Times" w:cs="Times"/>
        </w:rPr>
        <w:t xml:space="preserve">The </w:t>
      </w:r>
      <w:r w:rsidR="00B602C1">
        <w:rPr>
          <w:rFonts w:ascii="Times" w:hAnsi="Times" w:cs="Times"/>
        </w:rPr>
        <w:t>Crown</w:t>
      </w:r>
      <w:r w:rsidR="008552E4">
        <w:rPr>
          <w:rFonts w:ascii="Times" w:hAnsi="Times" w:cs="Times"/>
        </w:rPr>
        <w:t>,</w:t>
      </w:r>
      <w:r w:rsidR="00B602C1">
        <w:rPr>
          <w:rFonts w:ascii="Times" w:hAnsi="Times" w:cs="Times"/>
        </w:rPr>
        <w:t xml:space="preserve"> </w:t>
      </w:r>
      <w:r w:rsidR="008552E4">
        <w:rPr>
          <w:rFonts w:ascii="Times" w:hAnsi="Times" w:cs="Times"/>
        </w:rPr>
        <w:t>in paragraphs 37 to 81 of their written submissions, ha</w:t>
      </w:r>
      <w:r w:rsidR="005B6385">
        <w:rPr>
          <w:rFonts w:ascii="Times" w:hAnsi="Times" w:cs="Times"/>
        </w:rPr>
        <w:t>s</w:t>
      </w:r>
      <w:r w:rsidR="00B602C1">
        <w:rPr>
          <w:rFonts w:ascii="Times" w:hAnsi="Times" w:cs="Times"/>
        </w:rPr>
        <w:t xml:space="preserve"> laid out the actus reus and mens</w:t>
      </w:r>
      <w:r w:rsidR="008552E4">
        <w:rPr>
          <w:rFonts w:ascii="Times" w:hAnsi="Times" w:cs="Times"/>
        </w:rPr>
        <w:t xml:space="preserve"> rea for the charges before the Court.</w:t>
      </w:r>
      <w:r w:rsidR="00696B5C">
        <w:rPr>
          <w:rFonts w:ascii="Times" w:hAnsi="Times" w:cs="Times"/>
        </w:rPr>
        <w:t xml:space="preserve"> </w:t>
      </w:r>
      <w:r w:rsidR="00B602C1" w:rsidRPr="00696B5C">
        <w:rPr>
          <w:rFonts w:ascii="Times" w:hAnsi="Times" w:cs="Times"/>
        </w:rPr>
        <w:t xml:space="preserve">However, the Crown has underestimated </w:t>
      </w:r>
      <w:r w:rsidR="00711F27" w:rsidRPr="00696B5C">
        <w:rPr>
          <w:rFonts w:ascii="Times" w:hAnsi="Times" w:cs="Times"/>
        </w:rPr>
        <w:t xml:space="preserve">and downplayed </w:t>
      </w:r>
      <w:r w:rsidR="00696B5C">
        <w:rPr>
          <w:rFonts w:ascii="Times" w:hAnsi="Times" w:cs="Times"/>
        </w:rPr>
        <w:t xml:space="preserve">both the </w:t>
      </w:r>
      <w:r w:rsidR="00696B5C">
        <w:rPr>
          <w:rFonts w:ascii="Times" w:hAnsi="Times" w:cs="Times"/>
          <w:i/>
          <w:iCs/>
        </w:rPr>
        <w:t xml:space="preserve">mens rea </w:t>
      </w:r>
      <w:r w:rsidR="00696B5C">
        <w:rPr>
          <w:rFonts w:ascii="Times" w:hAnsi="Times" w:cs="Times"/>
        </w:rPr>
        <w:t xml:space="preserve">component and </w:t>
      </w:r>
      <w:r w:rsidR="00B602C1" w:rsidRPr="00696B5C">
        <w:rPr>
          <w:rFonts w:ascii="Times" w:hAnsi="Times" w:cs="Times"/>
        </w:rPr>
        <w:t>the applicability of colour of right</w:t>
      </w:r>
      <w:r w:rsidR="005604EC" w:rsidRPr="00696B5C">
        <w:rPr>
          <w:rFonts w:ascii="Times" w:hAnsi="Times" w:cs="Times"/>
        </w:rPr>
        <w:t xml:space="preserve"> to the facts of this case</w:t>
      </w:r>
      <w:r w:rsidR="00B602C1" w:rsidRPr="00696B5C">
        <w:rPr>
          <w:rFonts w:ascii="Times" w:hAnsi="Times" w:cs="Times"/>
        </w:rPr>
        <w:t>. If Mr. Kalair is found to have acted with colour of right,</w:t>
      </w:r>
      <w:r w:rsidR="005604EC" w:rsidRPr="00696B5C">
        <w:rPr>
          <w:rFonts w:ascii="Times" w:hAnsi="Times" w:cs="Times"/>
        </w:rPr>
        <w:t xml:space="preserve"> or with an honest </w:t>
      </w:r>
      <w:r w:rsidR="00711F27" w:rsidRPr="00696B5C">
        <w:rPr>
          <w:rFonts w:ascii="Times" w:hAnsi="Times" w:cs="Times"/>
        </w:rPr>
        <w:t>but mistaken</w:t>
      </w:r>
      <w:r w:rsidR="005604EC" w:rsidRPr="00696B5C">
        <w:rPr>
          <w:rFonts w:ascii="Times" w:hAnsi="Times" w:cs="Times"/>
        </w:rPr>
        <w:t xml:space="preserve"> belief that his actions were permissible,</w:t>
      </w:r>
      <w:r w:rsidR="00B602C1" w:rsidRPr="00696B5C">
        <w:rPr>
          <w:rFonts w:ascii="Times" w:hAnsi="Times" w:cs="Times"/>
        </w:rPr>
        <w:t xml:space="preserve"> he cannot be found guilty of </w:t>
      </w:r>
      <w:r w:rsidR="005604EC" w:rsidRPr="00696B5C">
        <w:rPr>
          <w:rFonts w:ascii="Times" w:hAnsi="Times" w:cs="Times"/>
        </w:rPr>
        <w:t xml:space="preserve">counts one through six. </w:t>
      </w:r>
      <w:r w:rsidR="00B602C1" w:rsidRPr="00696B5C">
        <w:rPr>
          <w:rFonts w:ascii="Times" w:hAnsi="Times" w:cs="Times"/>
        </w:rPr>
        <w:t xml:space="preserve"> </w:t>
      </w:r>
    </w:p>
    <w:p w14:paraId="6189157F" w14:textId="77777777" w:rsidR="006441CC" w:rsidRPr="00696B5C" w:rsidRDefault="006441CC" w:rsidP="006441CC">
      <w:pPr>
        <w:suppressAutoHyphens/>
        <w:spacing w:after="120" w:line="360" w:lineRule="auto"/>
        <w:jc w:val="both"/>
        <w:rPr>
          <w:rFonts w:ascii="Times" w:hAnsi="Times" w:cs="Times"/>
        </w:rPr>
      </w:pPr>
    </w:p>
    <w:p w14:paraId="6E9A01DC" w14:textId="65500D42" w:rsidR="002E5AA2" w:rsidRPr="002E5AA2" w:rsidRDefault="002E5AA2" w:rsidP="006441CC">
      <w:pPr>
        <w:pStyle w:val="Heading2"/>
        <w:ind w:firstLine="720"/>
      </w:pPr>
      <w:bookmarkStart w:id="4" w:name="_Toc411860381"/>
      <w:r w:rsidRPr="002E5AA2">
        <w:t>THEFT</w:t>
      </w:r>
      <w:r>
        <w:t xml:space="preserve">, </w:t>
      </w:r>
      <w:r w:rsidRPr="002E5AA2">
        <w:t>FRAUD</w:t>
      </w:r>
      <w:r>
        <w:t xml:space="preserve"> &amp; MONEY LAUNDERING</w:t>
      </w:r>
      <w:bookmarkEnd w:id="4"/>
    </w:p>
    <w:p w14:paraId="620392B6" w14:textId="621A157A" w:rsidR="005604EC" w:rsidRDefault="002E5AA2" w:rsidP="00C87CF5">
      <w:pPr>
        <w:numPr>
          <w:ilvl w:val="0"/>
          <w:numId w:val="1"/>
        </w:numPr>
        <w:suppressAutoHyphens/>
        <w:spacing w:after="120" w:line="360" w:lineRule="auto"/>
        <w:ind w:left="0" w:firstLine="0"/>
        <w:jc w:val="both"/>
        <w:rPr>
          <w:rFonts w:ascii="Times" w:hAnsi="Times" w:cs="Times"/>
        </w:rPr>
      </w:pPr>
      <w:r>
        <w:rPr>
          <w:rFonts w:ascii="Times" w:hAnsi="Times" w:cs="Times"/>
        </w:rPr>
        <w:t xml:space="preserve">These three sets of charges are closely inter-related both in their facts and the applicable law. The charges of theft rely on taking or converting “fraudulently </w:t>
      </w:r>
      <w:r>
        <w:rPr>
          <w:rFonts w:ascii="Times" w:hAnsi="Times" w:cs="Times"/>
          <w:b/>
          <w:bCs/>
          <w:i/>
          <w:iCs/>
        </w:rPr>
        <w:t xml:space="preserve">and without colour of right” </w:t>
      </w:r>
      <w:r>
        <w:rPr>
          <w:rFonts w:ascii="Times" w:hAnsi="Times" w:cs="Times"/>
        </w:rPr>
        <w:t>the property of another. The charge of money laundering is reliant on both proof that the money was obtained by crime (“in this case fraud” as noted by the Crown at paragraph 64 of their submissions)</w:t>
      </w:r>
      <w:r w:rsidR="00E50262">
        <w:rPr>
          <w:rFonts w:ascii="Times" w:hAnsi="Times" w:cs="Times"/>
        </w:rPr>
        <w:t xml:space="preserve">, and that Mr. Kalair </w:t>
      </w:r>
      <w:r w:rsidR="00E50262">
        <w:rPr>
          <w:rFonts w:ascii="Times" w:hAnsi="Times" w:cs="Times"/>
          <w:i/>
          <w:iCs/>
        </w:rPr>
        <w:t xml:space="preserve">knew or believed </w:t>
      </w:r>
      <w:r w:rsidR="00E50262">
        <w:rPr>
          <w:rFonts w:ascii="Times" w:hAnsi="Times" w:cs="Times"/>
        </w:rPr>
        <w:t>the money had been obtained by crime – namely fraud. Thus, much of the legal analysis hinges on an understanding of both the criminal act and the criminal intent necessary to establish fraud.</w:t>
      </w:r>
    </w:p>
    <w:p w14:paraId="35B7EAFE" w14:textId="77777777" w:rsidR="00E50262" w:rsidRDefault="00E50262" w:rsidP="00E50262">
      <w:pPr>
        <w:suppressAutoHyphens/>
        <w:spacing w:after="120" w:line="360" w:lineRule="auto"/>
        <w:jc w:val="both"/>
        <w:rPr>
          <w:rFonts w:ascii="Times New Roman" w:hAnsi="Times New Roman" w:cs="Times New Roman"/>
          <w:b/>
          <w:bCs/>
          <w:i/>
          <w:iCs/>
          <w:sz w:val="26"/>
          <w:szCs w:val="26"/>
        </w:rPr>
      </w:pPr>
    </w:p>
    <w:p w14:paraId="2C9B1E1D" w14:textId="64915006" w:rsidR="00E50262" w:rsidRPr="006441CC" w:rsidRDefault="00E50262" w:rsidP="006441CC">
      <w:pPr>
        <w:pStyle w:val="Heading3"/>
        <w:ind w:firstLine="720"/>
        <w:rPr>
          <w:color w:val="auto"/>
        </w:rPr>
      </w:pPr>
      <w:bookmarkStart w:id="5" w:name="_Toc411860382"/>
      <w:r w:rsidRPr="006441CC">
        <w:rPr>
          <w:color w:val="auto"/>
        </w:rPr>
        <w:t>The Actus Reus</w:t>
      </w:r>
      <w:bookmarkEnd w:id="5"/>
    </w:p>
    <w:p w14:paraId="647A6CB2" w14:textId="534D0DF4" w:rsidR="002E5AA2" w:rsidRDefault="00E50262" w:rsidP="00C87CF5">
      <w:pPr>
        <w:numPr>
          <w:ilvl w:val="0"/>
          <w:numId w:val="1"/>
        </w:numPr>
        <w:suppressAutoHyphens/>
        <w:spacing w:after="120" w:line="360" w:lineRule="auto"/>
        <w:ind w:left="0" w:firstLine="0"/>
        <w:jc w:val="both"/>
        <w:rPr>
          <w:rFonts w:ascii="Times" w:hAnsi="Times" w:cs="Times"/>
        </w:rPr>
      </w:pPr>
      <w:r>
        <w:rPr>
          <w:rFonts w:ascii="Times" w:hAnsi="Times" w:cs="Times"/>
        </w:rPr>
        <w:t xml:space="preserve">As outlined at paragraph 38 of the Crown’s submissions, the </w:t>
      </w:r>
      <w:r>
        <w:rPr>
          <w:rFonts w:ascii="Times" w:hAnsi="Times" w:cs="Times"/>
          <w:i/>
          <w:iCs/>
        </w:rPr>
        <w:t xml:space="preserve">actus reus </w:t>
      </w:r>
      <w:r>
        <w:rPr>
          <w:rFonts w:ascii="Times" w:hAnsi="Times" w:cs="Times"/>
        </w:rPr>
        <w:t xml:space="preserve">of fraud </w:t>
      </w:r>
      <w:r w:rsidR="00696B5C">
        <w:rPr>
          <w:rFonts w:ascii="Times" w:hAnsi="Times" w:cs="Times"/>
        </w:rPr>
        <w:t xml:space="preserve">requires </w:t>
      </w:r>
      <w:r>
        <w:rPr>
          <w:rFonts w:ascii="Times" w:hAnsi="Times" w:cs="Times"/>
        </w:rPr>
        <w:t xml:space="preserve">proof of a prohibited act (deceit, falsehood or other fraudulent means) AND </w:t>
      </w:r>
      <w:r w:rsidR="00696B5C">
        <w:rPr>
          <w:rFonts w:ascii="Times" w:hAnsi="Times" w:cs="Times"/>
        </w:rPr>
        <w:t xml:space="preserve">proof of </w:t>
      </w:r>
      <w:r>
        <w:rPr>
          <w:rFonts w:ascii="Times" w:hAnsi="Times" w:cs="Times"/>
        </w:rPr>
        <w:t>deprivation caused by that same prohibited act. This deprivation may be an actual loss or the mere placing of the victim’s pecuniary interests at risk.</w:t>
      </w:r>
    </w:p>
    <w:p w14:paraId="23F232E9" w14:textId="319641B7" w:rsidR="002E5AA2" w:rsidRDefault="00E50262" w:rsidP="00C87CF5">
      <w:pPr>
        <w:numPr>
          <w:ilvl w:val="0"/>
          <w:numId w:val="1"/>
        </w:numPr>
        <w:suppressAutoHyphens/>
        <w:spacing w:after="120" w:line="360" w:lineRule="auto"/>
        <w:ind w:left="0" w:firstLine="0"/>
        <w:jc w:val="both"/>
        <w:rPr>
          <w:rFonts w:ascii="Times" w:hAnsi="Times" w:cs="Times"/>
        </w:rPr>
      </w:pPr>
      <w:r>
        <w:rPr>
          <w:rFonts w:ascii="Times" w:hAnsi="Times" w:cs="Times"/>
        </w:rPr>
        <w:t xml:space="preserve">Thus, it is first incumbent upon the Crown to establish, beyond a reasonable doubt, that Mr. Kalair engaged in a prohibited act of deceit, falsehood or other fraudulent means. If this Honourable Court is left in reasonable doubt as to the lawfulness of UM’s entitlement to utilize the funds in question to pay the Mudarabah expenses in the manner they did, there </w:t>
      </w:r>
      <w:r>
        <w:rPr>
          <w:rFonts w:ascii="Times" w:hAnsi="Times" w:cs="Times"/>
          <w:i/>
          <w:iCs/>
        </w:rPr>
        <w:t>is no prohibited act</w:t>
      </w:r>
      <w:r>
        <w:rPr>
          <w:rFonts w:ascii="Times" w:hAnsi="Times" w:cs="Times"/>
        </w:rPr>
        <w:t xml:space="preserve"> and thus no need to make any further legal assessment.</w:t>
      </w:r>
    </w:p>
    <w:p w14:paraId="4C293D36" w14:textId="77777777" w:rsidR="00313505" w:rsidRDefault="00E50262" w:rsidP="00C87CF5">
      <w:pPr>
        <w:numPr>
          <w:ilvl w:val="0"/>
          <w:numId w:val="1"/>
        </w:numPr>
        <w:suppressAutoHyphens/>
        <w:spacing w:after="120" w:line="360" w:lineRule="auto"/>
        <w:ind w:left="0" w:firstLine="0"/>
        <w:jc w:val="both"/>
        <w:rPr>
          <w:rFonts w:ascii="Times" w:hAnsi="Times" w:cs="Times"/>
        </w:rPr>
      </w:pPr>
      <w:r>
        <w:rPr>
          <w:rFonts w:ascii="Times" w:hAnsi="Times" w:cs="Times"/>
        </w:rPr>
        <w:t xml:space="preserve">Even if this Court finds, beyond a reasonable doubt, the commission of a prohibited act, the Court must also be satisfied, against the same strict standard, that this </w:t>
      </w:r>
      <w:r>
        <w:rPr>
          <w:rFonts w:ascii="Times" w:hAnsi="Times" w:cs="Times"/>
        </w:rPr>
        <w:lastRenderedPageBreak/>
        <w:t xml:space="preserve">prohibited act placed a victim’s pecuniary interests at risk. This second stage of the </w:t>
      </w:r>
      <w:r>
        <w:rPr>
          <w:rFonts w:ascii="Times" w:hAnsi="Times" w:cs="Times"/>
          <w:i/>
          <w:iCs/>
        </w:rPr>
        <w:t xml:space="preserve">actus reus </w:t>
      </w:r>
      <w:r>
        <w:rPr>
          <w:rFonts w:ascii="Times" w:hAnsi="Times" w:cs="Times"/>
        </w:rPr>
        <w:t xml:space="preserve">assessment presents an additional hurdle for the Crown. </w:t>
      </w:r>
    </w:p>
    <w:p w14:paraId="6C63D229" w14:textId="2BB0E999" w:rsidR="00E50262" w:rsidRDefault="00E50262" w:rsidP="00C87CF5">
      <w:pPr>
        <w:numPr>
          <w:ilvl w:val="0"/>
          <w:numId w:val="1"/>
        </w:numPr>
        <w:suppressAutoHyphens/>
        <w:spacing w:after="120" w:line="360" w:lineRule="auto"/>
        <w:ind w:left="0" w:firstLine="0"/>
        <w:jc w:val="both"/>
        <w:rPr>
          <w:rFonts w:ascii="Times" w:hAnsi="Times" w:cs="Times"/>
        </w:rPr>
      </w:pPr>
      <w:r>
        <w:rPr>
          <w:rFonts w:ascii="Times" w:hAnsi="Times" w:cs="Times"/>
        </w:rPr>
        <w:t xml:space="preserve">There are two possible parties who could be characterized as alleged victims. It was established conclusively at trial that the homeowners suffered </w:t>
      </w:r>
      <w:r>
        <w:rPr>
          <w:rFonts w:ascii="Times" w:hAnsi="Times" w:cs="Times"/>
          <w:i/>
          <w:iCs/>
        </w:rPr>
        <w:t>no loss</w:t>
      </w:r>
      <w:r>
        <w:rPr>
          <w:rFonts w:ascii="Times" w:hAnsi="Times" w:cs="Times"/>
        </w:rPr>
        <w:t xml:space="preserve"> whatsoever. The Crown suggests that there was a “risk of loss” had their mortgages not been discharged but such “risk” would require criminality not on the part of Mr. Kalair, but on the part of GTL and C1. Both through the records of UM, and through the independent records of the individual homeowners, </w:t>
      </w:r>
      <w:r w:rsidR="00313505">
        <w:rPr>
          <w:rFonts w:ascii="Times" w:hAnsi="Times" w:cs="Times"/>
        </w:rPr>
        <w:t xml:space="preserve">there was ample documentary evidence to establish payments made in good faith by the homeowners in satisfaction of their Musharaka mortgage requirements. Mr. Kalair took no steps to block the accounting of these payments nor to prevent the discharge of their mortgages – on the contrary; by all accounts Kalair expected the payments of homeowners would be honoured by C1 and/or GTL with discharges granted while ensuring that the Sharia-compliant nature of the remained intact. The only way the homeowners </w:t>
      </w:r>
      <w:r w:rsidR="00313505">
        <w:rPr>
          <w:rFonts w:ascii="Times" w:hAnsi="Times" w:cs="Times"/>
          <w:i/>
          <w:iCs/>
        </w:rPr>
        <w:t xml:space="preserve">could </w:t>
      </w:r>
      <w:r w:rsidR="00313505">
        <w:rPr>
          <w:rFonts w:ascii="Times" w:hAnsi="Times" w:cs="Times"/>
        </w:rPr>
        <w:t>have lost money would have been if either GTL or C1 refused to accept evidence of the payments they made and moved to enforce on the mortgage security even with the full knowledge that UM, as C1’s partner and agent, had been paid.</w:t>
      </w:r>
    </w:p>
    <w:p w14:paraId="13DA92FA" w14:textId="4130BFC7" w:rsidR="002E5AA2" w:rsidRPr="007F37EC" w:rsidRDefault="00313505" w:rsidP="007F37EC">
      <w:pPr>
        <w:numPr>
          <w:ilvl w:val="0"/>
          <w:numId w:val="1"/>
        </w:numPr>
        <w:suppressAutoHyphens/>
        <w:spacing w:after="120" w:line="360" w:lineRule="auto"/>
        <w:ind w:left="0" w:firstLine="0"/>
        <w:jc w:val="both"/>
        <w:rPr>
          <w:rFonts w:ascii="Times" w:hAnsi="Times" w:cs="Times"/>
        </w:rPr>
      </w:pPr>
      <w:r>
        <w:rPr>
          <w:rFonts w:ascii="Times" w:hAnsi="Times" w:cs="Times"/>
        </w:rPr>
        <w:t xml:space="preserve">This raises the question of whether C1 can be construed as a “victim” whose pecuniary interests were put at risk. To answer that question in the affirmative, this Court would need to find, beyond a reasonable doubt, that C1’s relationship with UM was that of a traditional debtor/creditor. These submissions will highlight key portions of the evidence (including the history of UM and C1’s relationship as related in the documentary record and through Vickie Sacco, the testimony of Mark Thompson on behalf of GTL, the evidence of Mr. Kalair himself and, most importantly, the expert opinion of Abdulkader Thomas) which suggest that the true legal relationship between UM and C1 is a Sharia-compliant Mudarabah – more accurately viewed as a joint venture or limited partnership. In such a structure, </w:t>
      </w:r>
      <w:r w:rsidR="007F37EC">
        <w:rPr>
          <w:rFonts w:ascii="Times" w:hAnsi="Times" w:cs="Times"/>
        </w:rPr>
        <w:t xml:space="preserve">the possibility of an investment loss to C1 is both possible and contemplated and such an </w:t>
      </w:r>
      <w:r w:rsidR="007F37EC">
        <w:rPr>
          <w:rFonts w:ascii="Times" w:hAnsi="Times" w:cs="Times"/>
          <w:i/>
          <w:iCs/>
        </w:rPr>
        <w:t xml:space="preserve">investment </w:t>
      </w:r>
      <w:r w:rsidR="007F37EC">
        <w:rPr>
          <w:rFonts w:ascii="Times" w:hAnsi="Times" w:cs="Times"/>
        </w:rPr>
        <w:t xml:space="preserve">loss cannot be fairly characterized as resulting from </w:t>
      </w:r>
      <w:r w:rsidR="00696B5C">
        <w:rPr>
          <w:rFonts w:ascii="Times" w:hAnsi="Times" w:cs="Times"/>
        </w:rPr>
        <w:t xml:space="preserve">the criminality of </w:t>
      </w:r>
      <w:r w:rsidR="007F37EC">
        <w:rPr>
          <w:rFonts w:ascii="Times" w:hAnsi="Times" w:cs="Times"/>
        </w:rPr>
        <w:t>fraud or theft.</w:t>
      </w:r>
      <w:r w:rsidR="008C0272">
        <w:rPr>
          <w:rFonts w:ascii="Times" w:hAnsi="Times" w:cs="Times"/>
        </w:rPr>
        <w:t xml:space="preserve"> C1 assumed, or was paid out on, the outstanding UM mortgages upon conclusion of the receivership. Thus C1 continued to receive principal and interest payments from former UM clients, and earned ongoing profit from this arrangement. The loss, if any, is limited to those </w:t>
      </w:r>
      <w:r w:rsidR="001A0079">
        <w:rPr>
          <w:rFonts w:ascii="Times" w:hAnsi="Times" w:cs="Times"/>
        </w:rPr>
        <w:t xml:space="preserve">investment </w:t>
      </w:r>
      <w:r w:rsidR="008C0272">
        <w:rPr>
          <w:rFonts w:ascii="Times" w:hAnsi="Times" w:cs="Times"/>
        </w:rPr>
        <w:t>funds UM expended to pay the Sharia expenses of the Mudarabah venture – these included legal fees</w:t>
      </w:r>
      <w:r w:rsidR="001A0079">
        <w:rPr>
          <w:rFonts w:ascii="Times" w:hAnsi="Times" w:cs="Times"/>
        </w:rPr>
        <w:t xml:space="preserve"> and the precious metals purchases allocated to the SEB/MCC.</w:t>
      </w:r>
    </w:p>
    <w:p w14:paraId="68F017CD" w14:textId="77777777" w:rsidR="008552E4" w:rsidRPr="008552E4" w:rsidRDefault="008552E4" w:rsidP="008552E4">
      <w:pPr>
        <w:suppressAutoHyphens/>
        <w:spacing w:after="120" w:line="360" w:lineRule="auto"/>
        <w:jc w:val="both"/>
        <w:rPr>
          <w:rFonts w:ascii="Times" w:hAnsi="Times" w:cs="Times"/>
        </w:rPr>
      </w:pPr>
    </w:p>
    <w:p w14:paraId="2A36F227" w14:textId="6C25C857" w:rsidR="00F065CE" w:rsidRPr="006441CC" w:rsidRDefault="00BC35C9" w:rsidP="006441CC">
      <w:pPr>
        <w:pStyle w:val="Heading3"/>
        <w:ind w:firstLine="720"/>
        <w:rPr>
          <w:color w:val="auto"/>
        </w:rPr>
      </w:pPr>
      <w:bookmarkStart w:id="6" w:name="_Toc411860383"/>
      <w:r w:rsidRPr="006441CC">
        <w:rPr>
          <w:color w:val="auto"/>
        </w:rPr>
        <w:lastRenderedPageBreak/>
        <w:t>Mens Rea</w:t>
      </w:r>
      <w:bookmarkEnd w:id="6"/>
    </w:p>
    <w:p w14:paraId="7AA359BC" w14:textId="43B656CD" w:rsidR="00BC35C9" w:rsidRDefault="007F37EC"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Only if the </w:t>
      </w:r>
      <w:r>
        <w:rPr>
          <w:rFonts w:ascii="Times Roman" w:hAnsi="Times Roman"/>
          <w:i/>
          <w:iCs/>
          <w:lang w:val="en-GB"/>
        </w:rPr>
        <w:t xml:space="preserve">actus reus </w:t>
      </w:r>
      <w:r>
        <w:rPr>
          <w:rFonts w:ascii="Times Roman" w:hAnsi="Times Roman"/>
          <w:lang w:val="en-GB"/>
        </w:rPr>
        <w:t xml:space="preserve">is proven beyond a reasonable doubt must the court proceed to an analysis of the requisite </w:t>
      </w:r>
      <w:r>
        <w:rPr>
          <w:rFonts w:ascii="Times Roman" w:hAnsi="Times Roman"/>
          <w:i/>
          <w:iCs/>
          <w:lang w:val="en-GB"/>
        </w:rPr>
        <w:t>mens rea</w:t>
      </w:r>
      <w:r>
        <w:rPr>
          <w:rFonts w:ascii="Times Roman" w:hAnsi="Times Roman"/>
          <w:lang w:val="en-GB"/>
        </w:rPr>
        <w:t xml:space="preserve"> to prove fraud. This requires a two-part test in which it must be proven that Mr. Kalair had </w:t>
      </w:r>
      <w:r>
        <w:rPr>
          <w:rFonts w:ascii="Times Roman" w:hAnsi="Times Roman"/>
          <w:i/>
          <w:iCs/>
          <w:lang w:val="en-GB"/>
        </w:rPr>
        <w:t xml:space="preserve">subjective </w:t>
      </w:r>
      <w:r>
        <w:rPr>
          <w:rFonts w:ascii="Times Roman" w:hAnsi="Times Roman"/>
          <w:lang w:val="en-GB"/>
        </w:rPr>
        <w:t xml:space="preserve">knowledge of the prohibited act AND that Kalair had </w:t>
      </w:r>
      <w:r>
        <w:rPr>
          <w:rFonts w:ascii="Times Roman" w:hAnsi="Times Roman"/>
          <w:i/>
          <w:iCs/>
          <w:lang w:val="en-GB"/>
        </w:rPr>
        <w:t xml:space="preserve">subjective </w:t>
      </w:r>
      <w:r>
        <w:rPr>
          <w:rFonts w:ascii="Times Roman" w:hAnsi="Times Roman"/>
          <w:lang w:val="en-GB"/>
        </w:rPr>
        <w:t xml:space="preserve">knowledge that a consequence of his prohibited act was </w:t>
      </w:r>
      <w:r w:rsidR="00696B5C">
        <w:rPr>
          <w:rFonts w:ascii="Times Roman" w:hAnsi="Times Roman"/>
          <w:lang w:val="en-GB"/>
        </w:rPr>
        <w:t>a</w:t>
      </w:r>
      <w:r>
        <w:rPr>
          <w:rFonts w:ascii="Times Roman" w:hAnsi="Times Roman"/>
          <w:lang w:val="en-GB"/>
        </w:rPr>
        <w:t xml:space="preserve"> risk of placing the victim’s pecuniary interests at risk. If this Court is left in reasonable doubt as to Mr. Kalair’s subjective belie</w:t>
      </w:r>
      <w:r w:rsidR="00696B5C">
        <w:rPr>
          <w:rFonts w:ascii="Times Roman" w:hAnsi="Times Roman"/>
          <w:lang w:val="en-GB"/>
        </w:rPr>
        <w:t>f</w:t>
      </w:r>
      <w:r>
        <w:rPr>
          <w:rFonts w:ascii="Times Roman" w:hAnsi="Times Roman"/>
          <w:lang w:val="en-GB"/>
        </w:rPr>
        <w:t xml:space="preserve"> regarding </w:t>
      </w:r>
      <w:r>
        <w:rPr>
          <w:rFonts w:ascii="Times Roman" w:hAnsi="Times Roman"/>
          <w:i/>
          <w:iCs/>
          <w:lang w:val="en-GB"/>
        </w:rPr>
        <w:t xml:space="preserve">either </w:t>
      </w:r>
      <w:r>
        <w:rPr>
          <w:rFonts w:ascii="Times Roman" w:hAnsi="Times Roman"/>
          <w:lang w:val="en-GB"/>
        </w:rPr>
        <w:t xml:space="preserve">what he was prohibited from doing </w:t>
      </w:r>
      <w:r>
        <w:rPr>
          <w:rFonts w:ascii="Times Roman" w:hAnsi="Times Roman"/>
          <w:i/>
          <w:iCs/>
          <w:lang w:val="en-GB"/>
        </w:rPr>
        <w:t xml:space="preserve">or </w:t>
      </w:r>
      <w:r>
        <w:rPr>
          <w:rFonts w:ascii="Times Roman" w:hAnsi="Times Roman"/>
          <w:lang w:val="en-GB"/>
        </w:rPr>
        <w:t>the pecuniary risks to the victims of what he did, then he must be acquitted of fraud, theft and money laundering.</w:t>
      </w:r>
    </w:p>
    <w:p w14:paraId="5B79D481" w14:textId="2C52DF90" w:rsidR="00896570" w:rsidRDefault="007F37EC" w:rsidP="00896570">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Crown relies on </w:t>
      </w:r>
      <w:r>
        <w:rPr>
          <w:rFonts w:ascii="Times Roman" w:hAnsi="Times Roman"/>
          <w:i/>
          <w:iCs/>
          <w:lang w:val="en-GB"/>
        </w:rPr>
        <w:t>Regina v. Zlatic</w:t>
      </w:r>
      <w:r w:rsidR="006441CC">
        <w:rPr>
          <w:rStyle w:val="FootnoteReference"/>
          <w:rFonts w:ascii="Times Roman" w:hAnsi="Times Roman"/>
          <w:i/>
          <w:iCs/>
          <w:lang w:val="en-GB"/>
        </w:rPr>
        <w:footnoteReference w:id="9"/>
      </w:r>
      <w:r w:rsidR="006441CC">
        <w:rPr>
          <w:rFonts w:ascii="Times Roman" w:hAnsi="Times Roman"/>
          <w:lang w:val="en-GB"/>
        </w:rPr>
        <w:t xml:space="preserve"> </w:t>
      </w:r>
      <w:r w:rsidRPr="007F37EC">
        <w:rPr>
          <w:rFonts w:ascii="Times Roman" w:hAnsi="Times Roman"/>
          <w:lang w:val="en-GB"/>
        </w:rPr>
        <w:t>to define the offence of fraud.</w:t>
      </w:r>
      <w:r>
        <w:rPr>
          <w:rFonts w:ascii="Times Roman" w:hAnsi="Times Roman"/>
          <w:lang w:val="en-GB"/>
        </w:rPr>
        <w:t xml:space="preserve"> This case is indeed an excellent starting point and is utilized in </w:t>
      </w:r>
      <w:r>
        <w:rPr>
          <w:rFonts w:ascii="Times Roman" w:hAnsi="Times Roman"/>
          <w:i/>
          <w:iCs/>
          <w:lang w:val="en-GB"/>
        </w:rPr>
        <w:t>R. v. Castro</w:t>
      </w:r>
      <w:r w:rsidR="006441CC">
        <w:rPr>
          <w:rStyle w:val="FootnoteReference"/>
          <w:rFonts w:ascii="Times Roman" w:hAnsi="Times Roman"/>
          <w:i/>
          <w:iCs/>
          <w:lang w:val="en-GB"/>
        </w:rPr>
        <w:footnoteReference w:id="10"/>
      </w:r>
      <w:r w:rsidR="006441CC">
        <w:rPr>
          <w:rFonts w:ascii="Times Roman" w:hAnsi="Times Roman"/>
          <w:i/>
          <w:iCs/>
          <w:lang w:val="en-GB"/>
        </w:rPr>
        <w:t xml:space="preserve">, </w:t>
      </w:r>
      <w:r>
        <w:rPr>
          <w:rFonts w:ascii="Times Roman" w:hAnsi="Times Roman"/>
          <w:lang w:val="en-GB"/>
        </w:rPr>
        <w:t xml:space="preserve">which provides further analysis and explanation that is helpful to an understanding of our case. In </w:t>
      </w:r>
      <w:r>
        <w:rPr>
          <w:rFonts w:ascii="Times Roman" w:hAnsi="Times Roman"/>
          <w:i/>
          <w:iCs/>
          <w:lang w:val="en-GB"/>
        </w:rPr>
        <w:t>Castro</w:t>
      </w:r>
      <w:r>
        <w:rPr>
          <w:rFonts w:ascii="Times Roman" w:hAnsi="Times Roman"/>
          <w:lang w:val="en-GB"/>
        </w:rPr>
        <w:t xml:space="preserve">, the Castro brothers worked together as paralegals, maintaining a general, trust and personal account for their firm. Although the firm carried roughly 80 files in a given year, </w:t>
      </w:r>
      <w:r w:rsidR="00896570">
        <w:rPr>
          <w:rFonts w:ascii="Times Roman" w:hAnsi="Times Roman"/>
          <w:lang w:val="en-GB"/>
        </w:rPr>
        <w:t xml:space="preserve">in six of those cases, settlement awards owing to clients of the firm were diverted from the trust account and converted to personal use by one of the brothers for a period of time. Justice Belobaba reviewed the </w:t>
      </w:r>
      <w:r w:rsidR="00896570">
        <w:rPr>
          <w:rFonts w:ascii="Times Roman" w:hAnsi="Times Roman"/>
          <w:i/>
          <w:iCs/>
          <w:lang w:val="en-GB"/>
        </w:rPr>
        <w:t xml:space="preserve">Zlatic </w:t>
      </w:r>
      <w:r w:rsidR="00896570">
        <w:rPr>
          <w:rFonts w:ascii="Times Roman" w:hAnsi="Times Roman"/>
          <w:lang w:val="en-GB"/>
        </w:rPr>
        <w:t>definition of fraud accepting that “fraudulent means” has at its heart “the wrongful use of something in which another person has an interest, in such manner that his other’s interest is extinguished or put at risk. A use i</w:t>
      </w:r>
      <w:r w:rsidR="00696B5C">
        <w:rPr>
          <w:rFonts w:ascii="Times Roman" w:hAnsi="Times Roman"/>
          <w:lang w:val="en-GB"/>
        </w:rPr>
        <w:t>s</w:t>
      </w:r>
      <w:r w:rsidR="00896570">
        <w:rPr>
          <w:rFonts w:ascii="Times Roman" w:hAnsi="Times Roman"/>
          <w:lang w:val="en-GB"/>
        </w:rPr>
        <w:t xml:space="preserve"> ‘wrongful’ in this context if it constitutes conduct which reasonable and decent persons would consider dishonest and unscrupulous”. Justice Belobaba continued by holding that Carlos’ practice of converting portions of settlement cheques to his personal use</w:t>
      </w:r>
      <w:r w:rsidR="00696B5C">
        <w:rPr>
          <w:rFonts w:ascii="Times Roman" w:hAnsi="Times Roman"/>
          <w:lang w:val="en-GB"/>
        </w:rPr>
        <w:t>,</w:t>
      </w:r>
      <w:r w:rsidR="00896570">
        <w:rPr>
          <w:rFonts w:ascii="Times Roman" w:hAnsi="Times Roman"/>
          <w:lang w:val="en-GB"/>
        </w:rPr>
        <w:t xml:space="preserve"> causing delayed or entirely lost payments for clients</w:t>
      </w:r>
      <w:r w:rsidR="00696B5C">
        <w:rPr>
          <w:rFonts w:ascii="Times Roman" w:hAnsi="Times Roman"/>
          <w:lang w:val="en-GB"/>
        </w:rPr>
        <w:t>,</w:t>
      </w:r>
      <w:r w:rsidR="00896570">
        <w:rPr>
          <w:rFonts w:ascii="Times Roman" w:hAnsi="Times Roman"/>
          <w:lang w:val="en-GB"/>
        </w:rPr>
        <w:t xml:space="preserve"> was a “dishonest business practice” and “a wrongful use of funds that had been entrusted to the Carlos firm by the client and amounted to conduct which reasonable and decent persons would consid</w:t>
      </w:r>
      <w:r w:rsidR="006441CC">
        <w:rPr>
          <w:rFonts w:ascii="Times Roman" w:hAnsi="Times Roman"/>
          <w:lang w:val="en-GB"/>
        </w:rPr>
        <w:t>er dishonest and unscrupulous”.</w:t>
      </w:r>
      <w:r w:rsidR="006441CC">
        <w:rPr>
          <w:rStyle w:val="FootnoteReference"/>
          <w:rFonts w:ascii="Times Roman" w:hAnsi="Times Roman"/>
          <w:lang w:val="en-GB"/>
        </w:rPr>
        <w:footnoteReference w:id="11"/>
      </w:r>
      <w:r w:rsidR="006441CC">
        <w:rPr>
          <w:rFonts w:ascii="Times Roman" w:hAnsi="Times Roman"/>
          <w:lang w:val="en-GB"/>
        </w:rPr>
        <w:t xml:space="preserve"> </w:t>
      </w:r>
      <w:r w:rsidR="00896570">
        <w:rPr>
          <w:rFonts w:ascii="Times Roman" w:hAnsi="Times Roman"/>
          <w:lang w:val="en-GB"/>
        </w:rPr>
        <w:t xml:space="preserve">This satisfied the </w:t>
      </w:r>
      <w:r w:rsidR="00896570">
        <w:rPr>
          <w:rFonts w:ascii="Times Roman" w:hAnsi="Times Roman"/>
          <w:i/>
          <w:iCs/>
          <w:lang w:val="en-GB"/>
        </w:rPr>
        <w:t xml:space="preserve">actus reus </w:t>
      </w:r>
      <w:r w:rsidR="00896570">
        <w:rPr>
          <w:rFonts w:ascii="Times Roman" w:hAnsi="Times Roman"/>
          <w:lang w:val="en-GB"/>
        </w:rPr>
        <w:t>component of the charge.</w:t>
      </w:r>
    </w:p>
    <w:p w14:paraId="5576D41A" w14:textId="4F6107C3" w:rsidR="00896570" w:rsidRDefault="00896570" w:rsidP="00896570">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In analysing the two-pronged test for </w:t>
      </w:r>
      <w:r>
        <w:rPr>
          <w:rFonts w:ascii="Times Roman" w:hAnsi="Times Roman"/>
          <w:i/>
          <w:iCs/>
          <w:lang w:val="en-GB"/>
        </w:rPr>
        <w:t>mens rea</w:t>
      </w:r>
      <w:r>
        <w:rPr>
          <w:rFonts w:ascii="Times Roman" w:hAnsi="Times Roman"/>
          <w:lang w:val="en-GB"/>
        </w:rPr>
        <w:t xml:space="preserve">, the Court found the first branch met as Justice Belobaba rejected the claim by Carlos that he honestly believed he could </w:t>
      </w:r>
      <w:r>
        <w:rPr>
          <w:rFonts w:ascii="Times Roman" w:hAnsi="Times Roman"/>
          <w:lang w:val="en-GB"/>
        </w:rPr>
        <w:lastRenderedPageBreak/>
        <w:t>treat client’s money deposited into trust as his own to be used for his own purposes and p</w:t>
      </w:r>
      <w:r w:rsidR="006441CC">
        <w:rPr>
          <w:rFonts w:ascii="Times Roman" w:hAnsi="Times Roman"/>
          <w:lang w:val="en-GB"/>
        </w:rPr>
        <w:t>aid back as and when available.</w:t>
      </w:r>
      <w:r w:rsidR="006441CC">
        <w:rPr>
          <w:rStyle w:val="FootnoteReference"/>
          <w:rFonts w:ascii="Times Roman" w:hAnsi="Times Roman"/>
          <w:lang w:val="en-GB"/>
        </w:rPr>
        <w:footnoteReference w:id="12"/>
      </w:r>
      <w:r w:rsidR="00504BE0">
        <w:rPr>
          <w:rFonts w:ascii="Times Roman" w:hAnsi="Times Roman"/>
          <w:lang w:val="en-GB"/>
        </w:rPr>
        <w:t xml:space="preserve"> </w:t>
      </w:r>
      <w:r>
        <w:rPr>
          <w:rFonts w:ascii="Times Roman" w:hAnsi="Times Roman"/>
          <w:lang w:val="en-GB"/>
        </w:rPr>
        <w:t>[We note parenthetically at this point that Carlos – in contrast to Kalair</w:t>
      </w:r>
      <w:r w:rsidR="00696B5C">
        <w:rPr>
          <w:rFonts w:ascii="Times Roman" w:hAnsi="Times Roman"/>
          <w:lang w:val="en-GB"/>
        </w:rPr>
        <w:t>,</w:t>
      </w:r>
      <w:r>
        <w:rPr>
          <w:rFonts w:ascii="Times Roman" w:hAnsi="Times Roman"/>
          <w:lang w:val="en-GB"/>
        </w:rPr>
        <w:t xml:space="preserve"> as will be discussed later</w:t>
      </w:r>
      <w:r w:rsidR="00696B5C">
        <w:rPr>
          <w:rFonts w:ascii="Times Roman" w:hAnsi="Times Roman"/>
          <w:lang w:val="en-GB"/>
        </w:rPr>
        <w:t>,</w:t>
      </w:r>
      <w:r>
        <w:rPr>
          <w:rFonts w:ascii="Times Roman" w:hAnsi="Times Roman"/>
          <w:lang w:val="en-GB"/>
        </w:rPr>
        <w:t xml:space="preserve"> – made no claim as to colour of right or honest but mistaken belief and thus raised no air of reality to his bald assertion </w:t>
      </w:r>
      <w:r w:rsidR="00696B5C">
        <w:rPr>
          <w:rFonts w:ascii="Times Roman" w:hAnsi="Times Roman"/>
          <w:lang w:val="en-GB"/>
        </w:rPr>
        <w:t>that</w:t>
      </w:r>
      <w:r>
        <w:rPr>
          <w:rFonts w:ascii="Times Roman" w:hAnsi="Times Roman"/>
          <w:lang w:val="en-GB"/>
        </w:rPr>
        <w:t xml:space="preserve"> he believed he could use client’s trust money as his own.</w:t>
      </w:r>
      <w:r w:rsidR="00696B5C">
        <w:rPr>
          <w:rFonts w:ascii="Times Roman" w:hAnsi="Times Roman"/>
          <w:lang w:val="en-GB"/>
        </w:rPr>
        <w:t xml:space="preserve"> </w:t>
      </w:r>
      <w:r w:rsidR="006441CC">
        <w:rPr>
          <w:rFonts w:ascii="Times Roman" w:hAnsi="Times Roman"/>
          <w:lang w:val="en-GB"/>
        </w:rPr>
        <w:t xml:space="preserve">Mr. </w:t>
      </w:r>
      <w:r w:rsidR="00696B5C">
        <w:rPr>
          <w:rFonts w:ascii="Times Roman" w:hAnsi="Times Roman"/>
          <w:lang w:val="en-GB"/>
        </w:rPr>
        <w:t>Kalair on the hand, had ample reason to honestly believe his actions were honest and scrupulous.</w:t>
      </w:r>
      <w:r>
        <w:rPr>
          <w:rFonts w:ascii="Times Roman" w:hAnsi="Times Roman"/>
          <w:lang w:val="en-GB"/>
        </w:rPr>
        <w:t>]</w:t>
      </w:r>
    </w:p>
    <w:p w14:paraId="5A4B1F06" w14:textId="77777777" w:rsidR="006441CC" w:rsidRDefault="00896570" w:rsidP="00896570">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However, the Court found the second prong of the </w:t>
      </w:r>
      <w:r>
        <w:rPr>
          <w:rFonts w:ascii="Times Roman" w:hAnsi="Times Roman"/>
          <w:i/>
          <w:iCs/>
          <w:lang w:val="en-GB"/>
        </w:rPr>
        <w:t xml:space="preserve">mens rea </w:t>
      </w:r>
      <w:r>
        <w:rPr>
          <w:rFonts w:ascii="Times Roman" w:hAnsi="Times Roman"/>
          <w:lang w:val="en-GB"/>
        </w:rPr>
        <w:t>test failed</w:t>
      </w:r>
      <w:r w:rsidR="006441CC">
        <w:rPr>
          <w:rFonts w:ascii="Times Roman" w:hAnsi="Times Roman"/>
          <w:lang w:val="en-GB"/>
        </w:rPr>
        <w:t>:</w:t>
      </w:r>
    </w:p>
    <w:p w14:paraId="75F6D452" w14:textId="4E1EEF99" w:rsidR="006441CC" w:rsidRDefault="00504BE0" w:rsidP="006441CC">
      <w:pPr>
        <w:pStyle w:val="ListParagraph"/>
        <w:shd w:val="clear" w:color="auto" w:fill="FFFFFF"/>
        <w:spacing w:after="120"/>
        <w:contextualSpacing w:val="0"/>
        <w:jc w:val="both"/>
        <w:rPr>
          <w:rFonts w:ascii="Times Roman" w:hAnsi="Times Roman"/>
          <w:lang w:val="en-GB"/>
        </w:rPr>
      </w:pPr>
      <w:r>
        <w:rPr>
          <w:rFonts w:ascii="Times Roman" w:hAnsi="Times Roman"/>
          <w:lang w:val="en-GB"/>
        </w:rPr>
        <w:t>“Crown counsel has not been able to establish on the evidence led at trial that Carlos Castro subjectively knew that the prohibited act (converting and using the client’s money even on a temporary basis) could result in deprivation, i.e. that it could result in the client’s loss or risk of loss of this money…I am therefore unable to conclude that when he converted the complainant’s settlement proceeds and chose not to pay these five clients in a timely fashion that Carlos subjectively knew that his actions could result in the client’s deprivation because of eventual non-payme</w:t>
      </w:r>
      <w:r w:rsidR="006441CC">
        <w:rPr>
          <w:rFonts w:ascii="Times Roman" w:hAnsi="Times Roman"/>
          <w:lang w:val="en-GB"/>
        </w:rPr>
        <w:t>nt or the risk of non-payment.”</w:t>
      </w:r>
      <w:r w:rsidR="006441CC">
        <w:rPr>
          <w:rStyle w:val="FootnoteReference"/>
          <w:rFonts w:ascii="Times Roman" w:hAnsi="Times Roman"/>
          <w:lang w:val="en-GB"/>
        </w:rPr>
        <w:footnoteReference w:id="13"/>
      </w:r>
      <w:r w:rsidR="006441CC">
        <w:rPr>
          <w:rFonts w:ascii="Times Roman" w:hAnsi="Times Roman"/>
          <w:lang w:val="en-GB"/>
        </w:rPr>
        <w:t xml:space="preserve"> </w:t>
      </w:r>
    </w:p>
    <w:p w14:paraId="58D5E425" w14:textId="77777777" w:rsidR="006441CC" w:rsidRDefault="006441CC" w:rsidP="006441CC">
      <w:pPr>
        <w:pStyle w:val="ListParagraph"/>
        <w:shd w:val="clear" w:color="auto" w:fill="FFFFFF"/>
        <w:spacing w:after="120"/>
        <w:contextualSpacing w:val="0"/>
        <w:jc w:val="both"/>
        <w:rPr>
          <w:rFonts w:ascii="Times Roman" w:hAnsi="Times Roman"/>
          <w:lang w:val="en-GB"/>
        </w:rPr>
      </w:pPr>
    </w:p>
    <w:p w14:paraId="429147DB" w14:textId="3BA58B18" w:rsidR="006441CC" w:rsidRDefault="006441CC" w:rsidP="00896570">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Castro was therefore acquitted of all fraud counts. </w:t>
      </w:r>
    </w:p>
    <w:p w14:paraId="151A2CC9" w14:textId="77B511CB" w:rsidR="00504BE0" w:rsidRDefault="00504BE0" w:rsidP="00896570">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w:t>
      </w:r>
      <w:r>
        <w:rPr>
          <w:rFonts w:ascii="Times Roman" w:hAnsi="Times Roman"/>
          <w:i/>
          <w:iCs/>
          <w:lang w:val="en-GB"/>
        </w:rPr>
        <w:t xml:space="preserve">Castro </w:t>
      </w:r>
      <w:r>
        <w:rPr>
          <w:rFonts w:ascii="Times Roman" w:hAnsi="Times Roman"/>
          <w:lang w:val="en-GB"/>
        </w:rPr>
        <w:t xml:space="preserve">case bears many similarities to that of Mr. Kalair’s in that all the evidence suggests that </w:t>
      </w:r>
      <w:r w:rsidR="006441CC">
        <w:rPr>
          <w:rFonts w:ascii="Times Roman" w:hAnsi="Times Roman"/>
          <w:lang w:val="en-GB"/>
        </w:rPr>
        <w:t xml:space="preserve">Mr. </w:t>
      </w:r>
      <w:r>
        <w:rPr>
          <w:rFonts w:ascii="Times Roman" w:hAnsi="Times Roman"/>
          <w:lang w:val="en-GB"/>
        </w:rPr>
        <w:t xml:space="preserve">Kalair had </w:t>
      </w:r>
      <w:r>
        <w:rPr>
          <w:rFonts w:ascii="Times Roman" w:hAnsi="Times Roman"/>
          <w:i/>
          <w:iCs/>
          <w:lang w:val="en-GB"/>
        </w:rPr>
        <w:t xml:space="preserve">no subjective </w:t>
      </w:r>
      <w:r>
        <w:rPr>
          <w:rFonts w:ascii="Times Roman" w:hAnsi="Times Roman"/>
          <w:lang w:val="en-GB"/>
        </w:rPr>
        <w:t xml:space="preserve">belief that his appropriation of the funds from the UM bank account could create even the possibility of loss to the homeowners. Any “loss” the use of such funds might cause to C1 cannot be said to be as a result of a “prohibited act” (and surely not an act that Kalair subjectively </w:t>
      </w:r>
      <w:r>
        <w:rPr>
          <w:rFonts w:ascii="Times Roman" w:hAnsi="Times Roman"/>
          <w:i/>
          <w:iCs/>
          <w:lang w:val="en-GB"/>
        </w:rPr>
        <w:t xml:space="preserve">believed and knew </w:t>
      </w:r>
      <w:r>
        <w:rPr>
          <w:rFonts w:ascii="Times Roman" w:hAnsi="Times Roman"/>
          <w:lang w:val="en-GB"/>
        </w:rPr>
        <w:t xml:space="preserve">to be prohibited) as </w:t>
      </w:r>
      <w:r w:rsidR="006441CC">
        <w:rPr>
          <w:rFonts w:ascii="Times Roman" w:hAnsi="Times Roman"/>
          <w:lang w:val="en-GB"/>
        </w:rPr>
        <w:t xml:space="preserve">Mr. </w:t>
      </w:r>
      <w:r>
        <w:rPr>
          <w:rFonts w:ascii="Times Roman" w:hAnsi="Times Roman"/>
          <w:lang w:val="en-GB"/>
        </w:rPr>
        <w:t>Kalair was operating under the assumption that UM’s relationship with C1 was a joint-venture Mudarabah partnership in which investment losses were an acknowledged possible outcome should the venture fail.</w:t>
      </w:r>
    </w:p>
    <w:p w14:paraId="209E43C6" w14:textId="77777777" w:rsidR="006441CC" w:rsidRPr="00896570" w:rsidRDefault="006441CC" w:rsidP="006441CC">
      <w:pPr>
        <w:pStyle w:val="ListParagraph"/>
        <w:shd w:val="clear" w:color="auto" w:fill="FFFFFF"/>
        <w:spacing w:after="120" w:line="360" w:lineRule="auto"/>
        <w:ind w:left="0"/>
        <w:contextualSpacing w:val="0"/>
        <w:jc w:val="both"/>
        <w:rPr>
          <w:rFonts w:ascii="Times Roman" w:hAnsi="Times Roman"/>
          <w:lang w:val="en-GB"/>
        </w:rPr>
      </w:pPr>
    </w:p>
    <w:p w14:paraId="79DB0754" w14:textId="26284B82" w:rsidR="007F37EC" w:rsidRPr="007F37EC" w:rsidRDefault="007F37EC" w:rsidP="007F37EC">
      <w:pPr>
        <w:pStyle w:val="ListParagraph"/>
        <w:shd w:val="clear" w:color="auto" w:fill="FFFFFF"/>
        <w:spacing w:after="120" w:line="360" w:lineRule="auto"/>
        <w:ind w:left="0"/>
        <w:contextualSpacing w:val="0"/>
        <w:jc w:val="both"/>
        <w:rPr>
          <w:rFonts w:ascii="Times Roman" w:hAnsi="Times Roman"/>
          <w:b/>
          <w:bCs/>
          <w:i/>
          <w:iCs/>
          <w:lang w:val="en-GB"/>
        </w:rPr>
      </w:pPr>
      <w:r>
        <w:rPr>
          <w:rFonts w:ascii="Times Roman" w:hAnsi="Times Roman"/>
          <w:b/>
          <w:bCs/>
          <w:i/>
          <w:iCs/>
          <w:lang w:val="en-GB"/>
        </w:rPr>
        <w:t>Colour of Right</w:t>
      </w:r>
    </w:p>
    <w:p w14:paraId="7B74BE5C" w14:textId="5A013035" w:rsidR="009F23F7" w:rsidRPr="00F4771D" w:rsidRDefault="00FF007A"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9F23F7">
        <w:rPr>
          <w:rFonts w:ascii="Times" w:hAnsi="Times" w:cs="Times"/>
        </w:rPr>
        <w:t xml:space="preserve">The </w:t>
      </w:r>
      <w:r w:rsidR="009F23F7" w:rsidRPr="009F23F7">
        <w:rPr>
          <w:rFonts w:ascii="Times" w:hAnsi="Times" w:cs="Times"/>
        </w:rPr>
        <w:t xml:space="preserve">term </w:t>
      </w:r>
      <w:r w:rsidRPr="009F23F7">
        <w:rPr>
          <w:rFonts w:ascii="Times" w:hAnsi="Times" w:cs="Times"/>
        </w:rPr>
        <w:t xml:space="preserve">"colour of right" </w:t>
      </w:r>
      <w:r w:rsidR="009F23F7" w:rsidRPr="009F23F7">
        <w:rPr>
          <w:rFonts w:ascii="Times Roman" w:hAnsi="Times Roman"/>
          <w:bdr w:val="none" w:sz="0" w:space="0" w:color="auto" w:frame="1"/>
          <w:lang w:val="en-GB"/>
        </w:rPr>
        <w:t xml:space="preserve">generally, although not exclusively, refers to a situation where there is an assertion of a proprietary or possessory right to the thing which is the </w:t>
      </w:r>
      <w:r w:rsidR="008552E4" w:rsidRPr="009F23F7">
        <w:rPr>
          <w:rFonts w:ascii="Times Roman" w:hAnsi="Times Roman"/>
          <w:bdr w:val="none" w:sz="0" w:space="0" w:color="auto" w:frame="1"/>
          <w:lang w:val="en-GB"/>
        </w:rPr>
        <w:lastRenderedPageBreak/>
        <w:t>subject matter</w:t>
      </w:r>
      <w:r w:rsidR="009F23F7" w:rsidRPr="009F23F7">
        <w:rPr>
          <w:rFonts w:ascii="Times Roman" w:hAnsi="Times Roman"/>
          <w:bdr w:val="none" w:sz="0" w:space="0" w:color="auto" w:frame="1"/>
          <w:lang w:val="en-GB"/>
        </w:rPr>
        <w:t xml:space="preserve"> of the alleged offence.</w:t>
      </w:r>
      <w:r w:rsidR="009F23F7">
        <w:rPr>
          <w:rFonts w:ascii="Times Roman" w:hAnsi="Times Roman"/>
          <w:bdr w:val="none" w:sz="0" w:space="0" w:color="auto" w:frame="1"/>
          <w:lang w:val="en-GB"/>
        </w:rPr>
        <w:t xml:space="preserve"> </w:t>
      </w:r>
      <w:r w:rsidR="009F23F7" w:rsidRPr="00F4771D">
        <w:rPr>
          <w:rFonts w:ascii="Times Roman" w:hAnsi="Times Roman"/>
          <w:bdr w:val="none" w:sz="0" w:space="0" w:color="auto" w:frame="1"/>
          <w:lang w:val="en-GB"/>
        </w:rPr>
        <w:t>It is used to denote an ho</w:t>
      </w:r>
      <w:r w:rsidR="008552E4">
        <w:rPr>
          <w:rFonts w:ascii="Times Roman" w:hAnsi="Times Roman"/>
          <w:bdr w:val="none" w:sz="0" w:space="0" w:color="auto" w:frame="1"/>
          <w:lang w:val="en-GB"/>
        </w:rPr>
        <w:t xml:space="preserve">nest belief in a state of facts, </w:t>
      </w:r>
      <w:r w:rsidR="009F23F7" w:rsidRPr="00F4771D">
        <w:rPr>
          <w:rFonts w:ascii="Times Roman" w:hAnsi="Times Roman"/>
          <w:bdr w:val="none" w:sz="0" w:space="0" w:color="auto" w:frame="1"/>
          <w:lang w:val="en-GB"/>
        </w:rPr>
        <w:t>which, if it actually existed, would at law</w:t>
      </w:r>
      <w:r w:rsidR="008552E4">
        <w:rPr>
          <w:rFonts w:ascii="Times Roman" w:hAnsi="Times Roman"/>
          <w:bdr w:val="none" w:sz="0" w:space="0" w:color="auto" w:frame="1"/>
          <w:lang w:val="en-GB"/>
        </w:rPr>
        <w:t xml:space="preserve"> justify or excuse the act done.</w:t>
      </w:r>
      <w:r w:rsidR="008552E4">
        <w:rPr>
          <w:rStyle w:val="FootnoteReference"/>
          <w:rFonts w:ascii="Times Roman" w:hAnsi="Times Roman"/>
          <w:bdr w:val="none" w:sz="0" w:space="0" w:color="auto" w:frame="1"/>
          <w:lang w:val="en-GB"/>
        </w:rPr>
        <w:footnoteReference w:id="14"/>
      </w:r>
    </w:p>
    <w:p w14:paraId="5BC901E8" w14:textId="6FFCFC87" w:rsidR="009F23F7" w:rsidRPr="00F4771D" w:rsidRDefault="009F23F7"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F4771D">
        <w:rPr>
          <w:rFonts w:ascii="Times Roman" w:hAnsi="Times Roman"/>
          <w:lang w:val="en-GB"/>
        </w:rPr>
        <w:t>The test for the determination of the pr</w:t>
      </w:r>
      <w:r w:rsidR="008552E4">
        <w:rPr>
          <w:rFonts w:ascii="Times Roman" w:hAnsi="Times Roman"/>
          <w:lang w:val="en-GB"/>
        </w:rPr>
        <w:t>esence of an honest belief is subjective rather than objective</w:t>
      </w:r>
      <w:r w:rsidR="008552E4">
        <w:rPr>
          <w:rStyle w:val="FootnoteReference"/>
          <w:rFonts w:ascii="Times Roman" w:hAnsi="Times Roman"/>
          <w:lang w:val="en-GB"/>
        </w:rPr>
        <w:footnoteReference w:id="15"/>
      </w:r>
      <w:r w:rsidR="008552E4">
        <w:rPr>
          <w:rFonts w:ascii="Times Roman" w:hAnsi="Times Roman"/>
          <w:lang w:val="en-GB"/>
        </w:rPr>
        <w:t xml:space="preserve"> (emphasis added):</w:t>
      </w:r>
    </w:p>
    <w:p w14:paraId="432D0108" w14:textId="23BC9A6D" w:rsidR="009F23F7" w:rsidRPr="00F4771D" w:rsidRDefault="009F23F7" w:rsidP="009F23F7">
      <w:pPr>
        <w:pStyle w:val="ListParagraph"/>
        <w:jc w:val="both"/>
        <w:rPr>
          <w:rFonts w:ascii="Times Roman" w:eastAsia="Times New Roman" w:hAnsi="Times Roman" w:cs="Times New Roman"/>
          <w:sz w:val="20"/>
          <w:szCs w:val="20"/>
          <w:lang w:val="en-GB"/>
        </w:rPr>
      </w:pPr>
      <w:r w:rsidRPr="00F4771D">
        <w:rPr>
          <w:rFonts w:ascii="Times Roman" w:hAnsi="Times Roman"/>
          <w:u w:val="single"/>
          <w:bdr w:val="none" w:sz="0" w:space="0" w:color="auto" w:frame="1"/>
          <w:lang w:val="en-GB"/>
        </w:rPr>
        <w:t>Possibly some of the strongest beliefs held by human beings might be found by other minds to be completely destitute of reasonable grounds. ... A man may be ever so much mistaken in his reasoning processes and yet be honest, though you would not accept his mere statement of opinion unless there was some colour in the circumstances for his entertaining the opinion he claims to have had</w:t>
      </w:r>
      <w:r w:rsidR="008552E4">
        <w:rPr>
          <w:rFonts w:ascii="Times Roman" w:hAnsi="Times Roman"/>
          <w:u w:val="single"/>
          <w:bdr w:val="none" w:sz="0" w:space="0" w:color="auto" w:frame="1"/>
          <w:lang w:val="en-GB"/>
        </w:rPr>
        <w:t>.</w:t>
      </w:r>
    </w:p>
    <w:p w14:paraId="2D662883" w14:textId="77777777" w:rsidR="009F23F7" w:rsidRPr="00F4771D" w:rsidRDefault="009F23F7" w:rsidP="009F23F7">
      <w:pPr>
        <w:shd w:val="clear" w:color="auto" w:fill="FFFFFF"/>
        <w:spacing w:after="120" w:line="360" w:lineRule="auto"/>
        <w:jc w:val="both"/>
        <w:rPr>
          <w:rFonts w:ascii="Times Roman" w:hAnsi="Times Roman"/>
          <w:lang w:val="en-GB"/>
        </w:rPr>
      </w:pPr>
    </w:p>
    <w:p w14:paraId="7FFA1DF8" w14:textId="4D7CF67E" w:rsidR="009F23F7" w:rsidRPr="00855F74" w:rsidRDefault="009F23F7"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F4771D">
        <w:rPr>
          <w:rFonts w:ascii="Times Roman" w:hAnsi="Times Roman"/>
          <w:shd w:val="clear" w:color="auto" w:fill="FFFFFF"/>
        </w:rPr>
        <w:t>To put the</w:t>
      </w:r>
      <w:r w:rsidR="008552E4">
        <w:rPr>
          <w:rFonts w:ascii="Times Roman" w:hAnsi="Times Roman"/>
          <w:shd w:val="clear" w:color="auto" w:fill="FFFFFF"/>
        </w:rPr>
        <w:t xml:space="preserve"> defence of colour of right in</w:t>
      </w:r>
      <w:r w:rsidRPr="00F4771D">
        <w:rPr>
          <w:rFonts w:ascii="Times Roman" w:hAnsi="Times Roman"/>
          <w:shd w:val="clear" w:color="auto" w:fill="FFFFFF"/>
        </w:rPr>
        <w:t xml:space="preserve"> play, an accused bears the onus</w:t>
      </w:r>
      <w:r w:rsidR="00377353">
        <w:rPr>
          <w:rFonts w:ascii="Times Roman" w:hAnsi="Times Roman"/>
          <w:shd w:val="clear" w:color="auto" w:fill="FFFFFF"/>
        </w:rPr>
        <w:t xml:space="preserve"> on a balance of probabilities</w:t>
      </w:r>
      <w:r w:rsidRPr="00F4771D">
        <w:rPr>
          <w:rFonts w:ascii="Times Roman" w:hAnsi="Times Roman"/>
          <w:shd w:val="clear" w:color="auto" w:fill="FFFFFF"/>
        </w:rPr>
        <w:t xml:space="preserve"> of showing that there is an "air of reality" to the asserted defence - i.e., whether there is some evidence upon which a trier of fact, properly instructed and acting reasonably, could be left in a state of reasonable doubt about colour of right. Once this </w:t>
      </w:r>
      <w:r w:rsidR="008552E4">
        <w:rPr>
          <w:rFonts w:ascii="Times Roman" w:hAnsi="Times Roman"/>
          <w:shd w:val="clear" w:color="auto" w:fill="FFFFFF"/>
        </w:rPr>
        <w:t>threshold is surpassed</w:t>
      </w:r>
      <w:r w:rsidRPr="00F4771D">
        <w:rPr>
          <w:rFonts w:ascii="Times Roman" w:hAnsi="Times Roman"/>
          <w:shd w:val="clear" w:color="auto" w:fill="FFFFFF"/>
        </w:rPr>
        <w:t xml:space="preserve">, the burden falls on the Crown to disprove the defence beyond </w:t>
      </w:r>
      <w:r w:rsidR="008552E4">
        <w:rPr>
          <w:rFonts w:ascii="Times Roman" w:hAnsi="Times Roman"/>
          <w:shd w:val="clear" w:color="auto" w:fill="FFFFFF"/>
        </w:rPr>
        <w:t>a reasonable doubt.</w:t>
      </w:r>
      <w:r w:rsidR="008552E4">
        <w:rPr>
          <w:rStyle w:val="FootnoteReference"/>
          <w:rFonts w:ascii="Times Roman" w:hAnsi="Times Roman"/>
          <w:shd w:val="clear" w:color="auto" w:fill="FFFFFF"/>
        </w:rPr>
        <w:footnoteReference w:id="16"/>
      </w:r>
      <w:r w:rsidR="008552E4">
        <w:rPr>
          <w:rFonts w:ascii="Times Roman" w:hAnsi="Times Roman"/>
          <w:shd w:val="clear" w:color="auto" w:fill="FFFFFF"/>
        </w:rPr>
        <w:t xml:space="preserve"> </w:t>
      </w:r>
      <w:r w:rsidRPr="00F4771D">
        <w:rPr>
          <w:rFonts w:ascii="Times Roman" w:hAnsi="Times Roman"/>
          <w:lang w:val="en-GB"/>
        </w:rPr>
        <w:t xml:space="preserve">The </w:t>
      </w:r>
      <w:r w:rsidR="00236557">
        <w:rPr>
          <w:rFonts w:ascii="Times Roman" w:hAnsi="Times Roman"/>
          <w:lang w:val="en-GB"/>
        </w:rPr>
        <w:t xml:space="preserve">trier of fact must determine </w:t>
      </w:r>
      <w:r w:rsidRPr="00F4771D">
        <w:rPr>
          <w:rFonts w:ascii="Times Roman" w:hAnsi="Times Roman"/>
          <w:lang w:val="en-GB"/>
        </w:rPr>
        <w:t>whether</w:t>
      </w:r>
      <w:r w:rsidR="00236557">
        <w:rPr>
          <w:rFonts w:ascii="Times Roman" w:hAnsi="Times Roman"/>
          <w:lang w:val="en-GB"/>
        </w:rPr>
        <w:t>,</w:t>
      </w:r>
      <w:r w:rsidRPr="00F4771D">
        <w:rPr>
          <w:rFonts w:ascii="Times Roman" w:hAnsi="Times Roman"/>
          <w:lang w:val="en-GB"/>
        </w:rPr>
        <w:t xml:space="preserve"> upon all the evidence</w:t>
      </w:r>
      <w:r w:rsidR="00236557">
        <w:rPr>
          <w:rFonts w:ascii="Times Roman" w:hAnsi="Times Roman"/>
          <w:lang w:val="en-GB"/>
        </w:rPr>
        <w:t>,</w:t>
      </w:r>
      <w:r w:rsidRPr="00F4771D">
        <w:rPr>
          <w:rFonts w:ascii="Times Roman" w:hAnsi="Times Roman"/>
          <w:lang w:val="en-GB"/>
        </w:rPr>
        <w:t xml:space="preserve"> the proper inference to be drawn would be that the accused </w:t>
      </w:r>
      <w:r w:rsidR="00236557">
        <w:rPr>
          <w:rFonts w:ascii="Times Roman" w:hAnsi="Times Roman"/>
          <w:lang w:val="en-GB"/>
        </w:rPr>
        <w:t>held</w:t>
      </w:r>
      <w:r w:rsidRPr="00F4771D">
        <w:rPr>
          <w:rFonts w:ascii="Times Roman" w:hAnsi="Times Roman"/>
          <w:lang w:val="en-GB"/>
        </w:rPr>
        <w:t xml:space="preserve"> an honest belief</w:t>
      </w:r>
      <w:r w:rsidR="00236557">
        <w:rPr>
          <w:rFonts w:ascii="Times Roman" w:hAnsi="Times Roman"/>
          <w:lang w:val="en-GB"/>
        </w:rPr>
        <w:t xml:space="preserve"> in the legitimacy of his actions</w:t>
      </w:r>
      <w:r w:rsidR="008552E4">
        <w:rPr>
          <w:rFonts w:ascii="Times Roman" w:hAnsi="Times Roman"/>
          <w:lang w:val="en-GB"/>
        </w:rPr>
        <w:t>.</w:t>
      </w:r>
      <w:r w:rsidR="008552E4">
        <w:rPr>
          <w:rStyle w:val="FootnoteReference"/>
          <w:rFonts w:ascii="Times Roman" w:hAnsi="Times Roman"/>
          <w:lang w:val="en-GB"/>
        </w:rPr>
        <w:footnoteReference w:id="17"/>
      </w:r>
      <w:r w:rsidRPr="00F4771D">
        <w:rPr>
          <w:rFonts w:ascii="Times Roman" w:hAnsi="Times Roman"/>
          <w:lang w:val="en-GB"/>
        </w:rPr>
        <w:t xml:space="preserve"> </w:t>
      </w:r>
    </w:p>
    <w:p w14:paraId="460B05A5" w14:textId="67C935DA" w:rsidR="00855F74" w:rsidRPr="00855F74" w:rsidRDefault="00855F74"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855F74">
        <w:rPr>
          <w:rFonts w:ascii="Times Roman" w:eastAsia="Times New Roman" w:hAnsi="Times Roman" w:cs="Times New Roman"/>
          <w:shd w:val="clear" w:color="auto" w:fill="FFFFFF"/>
          <w:lang w:val="en-GB"/>
        </w:rPr>
        <w:t xml:space="preserve">The honest belief does </w:t>
      </w:r>
      <w:r w:rsidRPr="00855F74">
        <w:rPr>
          <w:rFonts w:ascii="Times Roman" w:eastAsia="Times New Roman" w:hAnsi="Times Roman" w:cs="Times New Roman"/>
          <w:b/>
          <w:shd w:val="clear" w:color="auto" w:fill="FFFFFF"/>
          <w:lang w:val="en-GB"/>
        </w:rPr>
        <w:t xml:space="preserve">not </w:t>
      </w:r>
      <w:r w:rsidRPr="00855F74">
        <w:rPr>
          <w:rFonts w:ascii="Times Roman" w:eastAsia="Times New Roman" w:hAnsi="Times Roman" w:cs="Times New Roman"/>
          <w:shd w:val="clear" w:color="auto" w:fill="FFFFFF"/>
          <w:lang w:val="en-GB"/>
        </w:rPr>
        <w:t>have to be reasonable. Instead, “</w:t>
      </w:r>
      <w:r w:rsidRPr="00855F74">
        <w:rPr>
          <w:rFonts w:ascii="Times Roman" w:eastAsia="Times New Roman" w:hAnsi="Times Roman" w:cs="Times New Roman"/>
          <w:u w:val="single"/>
          <w:shd w:val="clear" w:color="auto" w:fill="FFFFFF"/>
          <w:lang w:val="en-GB"/>
        </w:rPr>
        <w:t>the reasonableness of the belief is a factor to consider in assessing whether the belief was an honest one</w:t>
      </w:r>
      <w:r w:rsidR="008552E4">
        <w:rPr>
          <w:rFonts w:ascii="Times Roman" w:eastAsia="Times New Roman" w:hAnsi="Times Roman" w:cs="Times New Roman"/>
          <w:u w:val="single"/>
          <w:shd w:val="clear" w:color="auto" w:fill="FFFFFF"/>
          <w:lang w:val="en-GB"/>
        </w:rPr>
        <w:t>”.</w:t>
      </w:r>
      <w:r w:rsidR="008552E4">
        <w:rPr>
          <w:rStyle w:val="FootnoteReference"/>
          <w:rFonts w:ascii="Times Roman" w:eastAsia="Times New Roman" w:hAnsi="Times Roman" w:cs="Times New Roman"/>
          <w:u w:val="single"/>
          <w:shd w:val="clear" w:color="auto" w:fill="FFFFFF"/>
          <w:lang w:val="en-GB"/>
        </w:rPr>
        <w:footnoteReference w:id="18"/>
      </w:r>
    </w:p>
    <w:p w14:paraId="601DC535" w14:textId="70143F12" w:rsidR="00FF53C9" w:rsidRPr="00F4771D" w:rsidRDefault="00FF53C9"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F4771D">
        <w:rPr>
          <w:rFonts w:ascii="Times Roman" w:hAnsi="Times Roman"/>
        </w:rPr>
        <w:t xml:space="preserve">In a 1963 case from the Ontario Court of Appeal, the accused, a municipal treasurer and tax collector, was charged with unlawfully converting to her own use $10,000, which was property of the municipal corporation. The accused admitted to taking the money, </w:t>
      </w:r>
      <w:r w:rsidR="00C8066F">
        <w:rPr>
          <w:rFonts w:ascii="Times Roman" w:hAnsi="Times Roman"/>
        </w:rPr>
        <w:t>intentionally destroying records of the transaction</w:t>
      </w:r>
      <w:r w:rsidR="00ED5A4E">
        <w:rPr>
          <w:rFonts w:ascii="Times Roman" w:hAnsi="Times Roman"/>
        </w:rPr>
        <w:t xml:space="preserve">, and </w:t>
      </w:r>
      <w:r w:rsidRPr="00F4771D">
        <w:rPr>
          <w:rFonts w:ascii="Times Roman" w:hAnsi="Times Roman"/>
        </w:rPr>
        <w:t xml:space="preserve">giving </w:t>
      </w:r>
      <w:r w:rsidR="00ED5A4E">
        <w:rPr>
          <w:rFonts w:ascii="Times Roman" w:hAnsi="Times Roman"/>
        </w:rPr>
        <w:t>the money t</w:t>
      </w:r>
      <w:r w:rsidRPr="00F4771D">
        <w:rPr>
          <w:rFonts w:ascii="Times Roman" w:hAnsi="Times Roman"/>
        </w:rPr>
        <w:t xml:space="preserve">o the Mayor in accordance with his orders. </w:t>
      </w:r>
      <w:r w:rsidR="00236557">
        <w:rPr>
          <w:rFonts w:ascii="Times Roman" w:hAnsi="Times Roman"/>
        </w:rPr>
        <w:t>S</w:t>
      </w:r>
      <w:r w:rsidRPr="00F4771D">
        <w:rPr>
          <w:rFonts w:ascii="Times Roman" w:hAnsi="Times Roman"/>
        </w:rPr>
        <w:t xml:space="preserve">he </w:t>
      </w:r>
      <w:r w:rsidR="00236557">
        <w:rPr>
          <w:rFonts w:ascii="Times Roman" w:hAnsi="Times Roman"/>
        </w:rPr>
        <w:t>testified that she felt</w:t>
      </w:r>
      <w:r w:rsidRPr="00F4771D">
        <w:rPr>
          <w:rFonts w:ascii="Times Roman" w:hAnsi="Times Roman"/>
        </w:rPr>
        <w:t xml:space="preserve"> justified in following the Mayor's orders. The Court said as follows (emphasis added)</w:t>
      </w:r>
      <w:r w:rsidR="008552E4">
        <w:rPr>
          <w:rStyle w:val="FootnoteReference"/>
          <w:rFonts w:ascii="Times Roman" w:hAnsi="Times Roman"/>
        </w:rPr>
        <w:footnoteReference w:id="19"/>
      </w:r>
      <w:r w:rsidRPr="00F4771D">
        <w:rPr>
          <w:rFonts w:ascii="Times Roman" w:hAnsi="Times Roman"/>
        </w:rPr>
        <w:t>:</w:t>
      </w:r>
    </w:p>
    <w:p w14:paraId="26175558" w14:textId="3A2EF13D" w:rsidR="00FF53C9" w:rsidRPr="00F4771D" w:rsidRDefault="00FF53C9" w:rsidP="00FF53C9">
      <w:pPr>
        <w:pStyle w:val="ListParagraph"/>
        <w:ind w:right="1134"/>
        <w:jc w:val="both"/>
        <w:rPr>
          <w:rFonts w:ascii="Times Roman" w:hAnsi="Times Roman"/>
        </w:rPr>
      </w:pPr>
      <w:r w:rsidRPr="00F4771D">
        <w:rPr>
          <w:rFonts w:ascii="Times Roman" w:eastAsia="Times New Roman" w:hAnsi="Times Roman"/>
          <w:bdr w:val="none" w:sz="0" w:space="0" w:color="auto" w:frame="1"/>
        </w:rPr>
        <w:lastRenderedPageBreak/>
        <w:t xml:space="preserve">In discussing fraudulent intent the learned trial judge told the jury that if the "accused honestly thought she was obliged to take this money" as ordered by the mayor upon the authorization of the municipal council, they ought to acquit. </w:t>
      </w:r>
      <w:r w:rsidRPr="00F4771D">
        <w:rPr>
          <w:rFonts w:ascii="Times Roman" w:eastAsia="Times New Roman" w:hAnsi="Times Roman"/>
          <w:u w:val="single"/>
          <w:bdr w:val="none" w:sz="0" w:space="0" w:color="auto" w:frame="1"/>
        </w:rPr>
        <w:t>In effect this instruction is to acquit only if the jury found that the appellant believed that she was under a legal compulsion to obey the mayor's orders. I think it sufficient if she honestly believed that she was justified in following the mayor's orders even though not bound to do so and even if that belief was without foundation</w:t>
      </w:r>
      <w:r w:rsidR="008552E4">
        <w:rPr>
          <w:rFonts w:ascii="Times Roman" w:eastAsia="Times New Roman" w:hAnsi="Times Roman"/>
          <w:u w:val="single"/>
          <w:bdr w:val="none" w:sz="0" w:space="0" w:color="auto" w:frame="1"/>
        </w:rPr>
        <w:t>.</w:t>
      </w:r>
    </w:p>
    <w:p w14:paraId="64157431" w14:textId="77777777" w:rsidR="00FF53C9" w:rsidRPr="00F4771D" w:rsidRDefault="00FF53C9" w:rsidP="00FF53C9">
      <w:pPr>
        <w:pStyle w:val="ListParagraph"/>
        <w:shd w:val="clear" w:color="auto" w:fill="FFFFFF"/>
        <w:spacing w:after="120" w:line="360" w:lineRule="auto"/>
        <w:ind w:left="0"/>
        <w:contextualSpacing w:val="0"/>
        <w:jc w:val="both"/>
        <w:rPr>
          <w:rFonts w:ascii="Times Roman" w:hAnsi="Times Roman"/>
          <w:lang w:val="en-GB"/>
        </w:rPr>
      </w:pPr>
    </w:p>
    <w:p w14:paraId="3A2AB752" w14:textId="0508ADB2" w:rsidR="00FF53C9" w:rsidRPr="00F4771D" w:rsidRDefault="008B2295"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rPr>
        <w:t>Although the Supreme Court of Canada restored the conviction,</w:t>
      </w:r>
      <w:r>
        <w:rPr>
          <w:rStyle w:val="FootnoteReference"/>
          <w:rFonts w:ascii="Times Roman" w:hAnsi="Times Roman"/>
        </w:rPr>
        <w:footnoteReference w:id="20"/>
      </w:r>
      <w:r>
        <w:rPr>
          <w:rFonts w:ascii="Times Roman" w:hAnsi="Times Roman"/>
        </w:rPr>
        <w:t xml:space="preserve"> </w:t>
      </w:r>
      <w:r w:rsidR="004A120F">
        <w:rPr>
          <w:rFonts w:ascii="Times Roman" w:hAnsi="Times Roman"/>
        </w:rPr>
        <w:t>they did so on the basis that on the particular facts, “there could be no honesty or honest opinion of right</w:t>
      </w:r>
      <w:r w:rsidR="00ED5A4E">
        <w:rPr>
          <w:rFonts w:ascii="Times Roman" w:hAnsi="Times Roman"/>
        </w:rPr>
        <w:t xml:space="preserve"> in these transactions</w:t>
      </w:r>
      <w:r w:rsidR="004A120F">
        <w:rPr>
          <w:rFonts w:ascii="Times Roman" w:hAnsi="Times Roman"/>
        </w:rPr>
        <w:t>”.</w:t>
      </w:r>
      <w:r w:rsidR="004A120F">
        <w:rPr>
          <w:rStyle w:val="FootnoteReference"/>
          <w:rFonts w:ascii="Times Roman" w:hAnsi="Times Roman"/>
        </w:rPr>
        <w:footnoteReference w:id="21"/>
      </w:r>
      <w:r w:rsidR="004A120F">
        <w:rPr>
          <w:rFonts w:ascii="Times Roman" w:hAnsi="Times Roman"/>
        </w:rPr>
        <w:t xml:space="preserve"> They did not interfere with the ONCA’s strong language set out above and </w:t>
      </w:r>
      <w:r w:rsidR="00ED5A4E">
        <w:rPr>
          <w:rFonts w:ascii="Times Roman" w:hAnsi="Times Roman"/>
        </w:rPr>
        <w:t xml:space="preserve">the test remains whether an accused has an honest subjectively held belief in the permissibility of their conduct. </w:t>
      </w:r>
      <w:r w:rsidR="004A120F">
        <w:rPr>
          <w:rFonts w:ascii="Times Roman" w:hAnsi="Times Roman"/>
        </w:rPr>
        <w:t>Kalair honest</w:t>
      </w:r>
      <w:r w:rsidR="00ED5A4E">
        <w:rPr>
          <w:rFonts w:ascii="Times Roman" w:hAnsi="Times Roman"/>
        </w:rPr>
        <w:t>ly</w:t>
      </w:r>
      <w:r w:rsidR="004A120F">
        <w:rPr>
          <w:rFonts w:ascii="Times Roman" w:hAnsi="Times Roman"/>
        </w:rPr>
        <w:t xml:space="preserve"> belie</w:t>
      </w:r>
      <w:r w:rsidR="00ED5A4E">
        <w:rPr>
          <w:rFonts w:ascii="Times Roman" w:hAnsi="Times Roman"/>
        </w:rPr>
        <w:t>ved</w:t>
      </w:r>
      <w:r w:rsidR="004A120F">
        <w:rPr>
          <w:rFonts w:ascii="Times Roman" w:hAnsi="Times Roman"/>
        </w:rPr>
        <w:t xml:space="preserve"> he was </w:t>
      </w:r>
      <w:r w:rsidR="00ED5A4E">
        <w:rPr>
          <w:rFonts w:ascii="Times Roman" w:hAnsi="Times Roman"/>
        </w:rPr>
        <w:t>required</w:t>
      </w:r>
      <w:r w:rsidR="004A120F">
        <w:rPr>
          <w:rFonts w:ascii="Times Roman" w:hAnsi="Times Roman"/>
        </w:rPr>
        <w:t xml:space="preserve"> to follow the orders, instructions and requests of the SEB. </w:t>
      </w:r>
      <w:r w:rsidR="00236557">
        <w:rPr>
          <w:rFonts w:ascii="Times Roman" w:hAnsi="Times Roman"/>
        </w:rPr>
        <w:t>An SEB holds a position of unique power and authority in Islamic Finance relationships. Culturally, religiously</w:t>
      </w:r>
      <w:r w:rsidR="003F6C6E">
        <w:rPr>
          <w:rFonts w:ascii="Times Roman" w:hAnsi="Times Roman"/>
        </w:rPr>
        <w:t>,</w:t>
      </w:r>
      <w:r w:rsidR="00236557">
        <w:rPr>
          <w:rFonts w:ascii="Times Roman" w:hAnsi="Times Roman"/>
        </w:rPr>
        <w:t xml:space="preserve"> and in accordance with Sharia law, Kalair was under an obligation to show deference to the requests and instructions of the SEB, including as directed by Mr. Panchbaya. The relationship between SEBs and their Islamic Finance Institutions (IFIs) was the subject of expert opinion via Abdulkader Thomas (whose evidence will be reviewed in greater detail below). </w:t>
      </w:r>
      <w:r w:rsidR="00ED5A4E">
        <w:rPr>
          <w:rFonts w:ascii="Times Roman" w:hAnsi="Times Roman"/>
        </w:rPr>
        <w:t>Kalair’s actions were not only motivated by the instructions and directions he received from the SEB, but they were also impacted by his understanding of the C1/UM contracts being structured to create a Mudarabah partnership.</w:t>
      </w:r>
      <w:r w:rsidR="001A0079">
        <w:rPr>
          <w:rFonts w:ascii="Times Roman" w:hAnsi="Times Roman"/>
        </w:rPr>
        <w:t xml:space="preserve"> </w:t>
      </w:r>
    </w:p>
    <w:p w14:paraId="65CA3228" w14:textId="100026F6" w:rsidR="008B2295" w:rsidRPr="008B2295" w:rsidRDefault="008B2295" w:rsidP="008B229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8B2295">
        <w:rPr>
          <w:rFonts w:ascii="Times Roman" w:hAnsi="Times Roman" w:cs="Times New Roman"/>
          <w:color w:val="212121"/>
          <w:lang w:val="en-GB"/>
        </w:rPr>
        <w:t>Even in cases where there is some element of deceitful behavio</w:t>
      </w:r>
      <w:r>
        <w:rPr>
          <w:rFonts w:ascii="Times Roman" w:hAnsi="Times Roman" w:cs="Times New Roman"/>
          <w:color w:val="212121"/>
          <w:lang w:val="en-GB"/>
        </w:rPr>
        <w:t>u</w:t>
      </w:r>
      <w:r w:rsidRPr="008B2295">
        <w:rPr>
          <w:rFonts w:ascii="Times Roman" w:hAnsi="Times Roman" w:cs="Times New Roman"/>
          <w:color w:val="212121"/>
          <w:lang w:val="en-GB"/>
        </w:rPr>
        <w:t>r, reasonable doubt as to a mistake of fact of one’s legal entitlement m</w:t>
      </w:r>
      <w:r>
        <w:rPr>
          <w:rFonts w:ascii="Times Roman" w:hAnsi="Times Roman" w:cs="Times New Roman"/>
          <w:color w:val="212121"/>
          <w:lang w:val="en-GB"/>
        </w:rPr>
        <w:t xml:space="preserve">ust result in an acquittal. In </w:t>
      </w:r>
      <w:r>
        <w:rPr>
          <w:rFonts w:ascii="Times Roman" w:hAnsi="Times Roman" w:cs="Times New Roman"/>
          <w:i/>
          <w:color w:val="212121"/>
          <w:lang w:val="en-GB"/>
        </w:rPr>
        <w:t>R v Ilcyzsynn,</w:t>
      </w:r>
      <w:r>
        <w:rPr>
          <w:rStyle w:val="FootnoteReference"/>
          <w:rFonts w:ascii="Times Roman" w:hAnsi="Times Roman" w:cs="Times New Roman"/>
          <w:i/>
          <w:color w:val="212121"/>
          <w:lang w:val="en-GB"/>
        </w:rPr>
        <w:footnoteReference w:id="22"/>
      </w:r>
      <w:r>
        <w:rPr>
          <w:rFonts w:ascii="Times Roman" w:hAnsi="Times Roman" w:cs="Times New Roman"/>
          <w:i/>
          <w:color w:val="212121"/>
          <w:lang w:val="en-GB"/>
        </w:rPr>
        <w:t xml:space="preserve"> </w:t>
      </w:r>
      <w:r w:rsidRPr="008B2295">
        <w:rPr>
          <w:rFonts w:ascii="Times Roman" w:hAnsi="Times Roman" w:cs="Times New Roman"/>
          <w:color w:val="212121"/>
          <w:lang w:val="en-GB"/>
        </w:rPr>
        <w:t>the ONCA upholds the acquittal of a mother on charges of child abduction. It was not disputed that, at law, the child was subject to a custody order in favo</w:t>
      </w:r>
      <w:r>
        <w:rPr>
          <w:rFonts w:ascii="Times Roman" w:hAnsi="Times Roman" w:cs="Times New Roman"/>
          <w:color w:val="212121"/>
          <w:lang w:val="en-GB"/>
        </w:rPr>
        <w:t>u</w:t>
      </w:r>
      <w:r w:rsidRPr="008B2295">
        <w:rPr>
          <w:rFonts w:ascii="Times Roman" w:hAnsi="Times Roman" w:cs="Times New Roman"/>
          <w:color w:val="212121"/>
          <w:lang w:val="en-GB"/>
        </w:rPr>
        <w:t xml:space="preserve">r of the husband who had been awarded sole custody while the mother was incarcerated for an unrelated offence. Upon her release from custody, the mother resumed cohabitation with the husband and child though the custody order was never altered or varied. The </w:t>
      </w:r>
      <w:r w:rsidRPr="008B2295">
        <w:rPr>
          <w:rFonts w:ascii="Times Roman" w:hAnsi="Times Roman" w:cs="Times New Roman"/>
          <w:color w:val="212121"/>
          <w:lang w:val="en-GB"/>
        </w:rPr>
        <w:lastRenderedPageBreak/>
        <w:t>cohabitation arrangement between the parents broke down and the mother took custody of the child, flying him to Toronto and then Hamilton (hours from the father’s home in Sault Ste. Marie) and maintaining custody of the child in violation of the order for five weeks before she was apprehended. The mother took custody of the child in clear contravention of the court order by attending at the babysitter’s home and lying to the caregiver, stating she was bringing the child to see the father when in fact she had already made arrangements to apprehend the child and fly out of town.</w:t>
      </w:r>
    </w:p>
    <w:p w14:paraId="3F04D8CB" w14:textId="68227730" w:rsidR="008B2295" w:rsidRPr="008B2295" w:rsidRDefault="008B2295" w:rsidP="008B229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8B2295">
        <w:rPr>
          <w:rFonts w:ascii="Times Roman" w:hAnsi="Times Roman" w:cs="Times New Roman"/>
          <w:color w:val="212121"/>
          <w:lang w:val="en-GB"/>
        </w:rPr>
        <w:t>Despite this act of deception on the part of the mother, the unanimous court concluded:</w:t>
      </w:r>
    </w:p>
    <w:p w14:paraId="2617960C" w14:textId="11302161" w:rsidR="008B2295" w:rsidRDefault="008B2295" w:rsidP="008B2295">
      <w:pPr>
        <w:pStyle w:val="ListParagraph"/>
        <w:shd w:val="clear" w:color="auto" w:fill="FFFFFF"/>
        <w:rPr>
          <w:rFonts w:ascii="Times Roman" w:hAnsi="Times Roman" w:cs="Times New Roman"/>
          <w:color w:val="212121"/>
          <w:lang w:val="en-GB"/>
        </w:rPr>
      </w:pPr>
      <w:r w:rsidRPr="008B2295">
        <w:rPr>
          <w:rFonts w:ascii="Times Roman" w:hAnsi="Times Roman" w:cs="Times New Roman"/>
          <w:color w:val="212121"/>
          <w:lang w:val="en-GB"/>
        </w:rPr>
        <w:t>“In most cases, the fact that an accused knew the terms of a custody order and in fact acted in contravention of its terms would be sufficient to persuade a trier of fact beyond a reasonable doubt that he or she intended to do so. However, in an unusual case such as the one before us, where the accused, although knowing the terms of the order, truly believed on reasonable grounds that it was no longer in existence, there could be no intent to contravene a valid and subsisting order.”</w:t>
      </w:r>
      <w:r>
        <w:rPr>
          <w:rStyle w:val="FootnoteReference"/>
          <w:rFonts w:ascii="Times Roman" w:hAnsi="Times Roman" w:cs="Times New Roman"/>
          <w:color w:val="212121"/>
          <w:lang w:val="en-GB"/>
        </w:rPr>
        <w:footnoteReference w:id="23"/>
      </w:r>
    </w:p>
    <w:p w14:paraId="7E7D3D4F" w14:textId="77777777" w:rsidR="008B2295" w:rsidRPr="008B2295" w:rsidRDefault="008B2295" w:rsidP="008B2295">
      <w:pPr>
        <w:pStyle w:val="ListParagraph"/>
        <w:shd w:val="clear" w:color="auto" w:fill="FFFFFF"/>
        <w:rPr>
          <w:rFonts w:ascii="Times Roman" w:hAnsi="Times Roman" w:cs="Times New Roman"/>
          <w:color w:val="212121"/>
          <w:lang w:val="en-GB"/>
        </w:rPr>
      </w:pPr>
    </w:p>
    <w:p w14:paraId="3CD1942B" w14:textId="2106AB4A" w:rsidR="008B2295" w:rsidRPr="008B2295" w:rsidRDefault="008B2295" w:rsidP="008B229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8B2295">
        <w:rPr>
          <w:rFonts w:ascii="Times Roman" w:hAnsi="Times Roman" w:cs="Times New Roman"/>
          <w:color w:val="212121"/>
          <w:lang w:val="en-GB"/>
        </w:rPr>
        <w:t>Mr. Kalair at all times was aware of the source of the funds he possessed</w:t>
      </w:r>
      <w:r>
        <w:rPr>
          <w:rFonts w:ascii="Times Roman" w:hAnsi="Times Roman" w:cs="Times New Roman"/>
          <w:color w:val="212121"/>
          <w:lang w:val="en-GB"/>
        </w:rPr>
        <w:t>,</w:t>
      </w:r>
      <w:r w:rsidRPr="008B2295">
        <w:rPr>
          <w:rFonts w:ascii="Times Roman" w:hAnsi="Times Roman" w:cs="Times New Roman"/>
          <w:color w:val="212121"/>
          <w:lang w:val="en-GB"/>
        </w:rPr>
        <w:t xml:space="preserve"> which were utilized to make expense payments and purchase </w:t>
      </w:r>
      <w:r w:rsidR="001A0079">
        <w:rPr>
          <w:rFonts w:ascii="Times Roman" w:hAnsi="Times Roman" w:cs="Times New Roman"/>
          <w:color w:val="212121"/>
          <w:lang w:val="en-GB"/>
        </w:rPr>
        <w:t>precious metals</w:t>
      </w:r>
      <w:r w:rsidRPr="008B2295">
        <w:rPr>
          <w:rFonts w:ascii="Times Roman" w:hAnsi="Times Roman" w:cs="Times New Roman"/>
          <w:color w:val="212121"/>
          <w:lang w:val="en-GB"/>
        </w:rPr>
        <w:t xml:space="preserve"> on behalf of the SEB. He was similarly aware of the terms of the various contracts and commitment letters governing the relationship between C1 and UM. However, there is ample evidence to conclude that, at all times, Kalair truly believed </w:t>
      </w:r>
      <w:r>
        <w:rPr>
          <w:rFonts w:ascii="Times Roman" w:hAnsi="Times Roman" w:cs="Times New Roman"/>
          <w:color w:val="212121"/>
          <w:lang w:val="en-GB"/>
        </w:rPr>
        <w:t>on reasonable grounds that the M</w:t>
      </w:r>
      <w:r w:rsidRPr="008B2295">
        <w:rPr>
          <w:rFonts w:ascii="Times Roman" w:hAnsi="Times Roman" w:cs="Times New Roman"/>
          <w:color w:val="212121"/>
          <w:lang w:val="en-GB"/>
        </w:rPr>
        <w:t>udarabah venture granted him full authority to utilize those funds in the manner he did. There was no intent to steal, defraud or deprive.</w:t>
      </w:r>
    </w:p>
    <w:p w14:paraId="150E7984" w14:textId="44BF39A2" w:rsidR="008B2295" w:rsidRPr="008B2295" w:rsidRDefault="008B2295" w:rsidP="008B229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8B2295">
        <w:rPr>
          <w:rFonts w:ascii="Times Roman" w:hAnsi="Times Roman" w:cs="Times New Roman"/>
          <w:color w:val="212121"/>
          <w:lang w:val="en-GB"/>
        </w:rPr>
        <w:t xml:space="preserve">The Crown points to discrepancies between </w:t>
      </w:r>
      <w:r>
        <w:rPr>
          <w:rFonts w:ascii="Times Roman" w:hAnsi="Times Roman" w:cs="Times New Roman"/>
          <w:color w:val="212121"/>
          <w:lang w:val="en-GB"/>
        </w:rPr>
        <w:t xml:space="preserve">Mr. </w:t>
      </w:r>
      <w:r w:rsidRPr="008B2295">
        <w:rPr>
          <w:rFonts w:ascii="Times Roman" w:hAnsi="Times Roman" w:cs="Times New Roman"/>
          <w:color w:val="212121"/>
          <w:lang w:val="en-GB"/>
        </w:rPr>
        <w:t xml:space="preserve">Kalair’s evidence and </w:t>
      </w:r>
      <w:r>
        <w:rPr>
          <w:rFonts w:ascii="Times Roman" w:hAnsi="Times Roman" w:cs="Times New Roman"/>
          <w:color w:val="212121"/>
          <w:lang w:val="en-GB"/>
        </w:rPr>
        <w:t xml:space="preserve">Mr. </w:t>
      </w:r>
      <w:r w:rsidRPr="008B2295">
        <w:rPr>
          <w:rFonts w:ascii="Times Roman" w:hAnsi="Times Roman" w:cs="Times New Roman"/>
          <w:color w:val="212121"/>
          <w:lang w:val="en-GB"/>
        </w:rPr>
        <w:t>Tho</w:t>
      </w:r>
      <w:r>
        <w:rPr>
          <w:rFonts w:ascii="Times Roman" w:hAnsi="Times Roman" w:cs="Times New Roman"/>
          <w:color w:val="212121"/>
          <w:lang w:val="en-GB"/>
        </w:rPr>
        <w:t>m</w:t>
      </w:r>
      <w:r w:rsidRPr="008B2295">
        <w:rPr>
          <w:rFonts w:ascii="Times Roman" w:hAnsi="Times Roman" w:cs="Times New Roman"/>
          <w:color w:val="212121"/>
          <w:lang w:val="en-GB"/>
        </w:rPr>
        <w:t xml:space="preserve">son’s or </w:t>
      </w:r>
      <w:r>
        <w:rPr>
          <w:rFonts w:ascii="Times Roman" w:hAnsi="Times Roman" w:cs="Times New Roman"/>
          <w:color w:val="212121"/>
          <w:lang w:val="en-GB"/>
        </w:rPr>
        <w:t xml:space="preserve">Mr. </w:t>
      </w:r>
      <w:r w:rsidRPr="008B2295">
        <w:rPr>
          <w:rFonts w:ascii="Times Roman" w:hAnsi="Times Roman" w:cs="Times New Roman"/>
          <w:color w:val="212121"/>
          <w:lang w:val="en-GB"/>
        </w:rPr>
        <w:t xml:space="preserve">Kalair’s evidence and </w:t>
      </w:r>
      <w:r>
        <w:rPr>
          <w:rFonts w:ascii="Times Roman" w:hAnsi="Times Roman" w:cs="Times New Roman"/>
          <w:color w:val="212121"/>
          <w:lang w:val="en-GB"/>
        </w:rPr>
        <w:t xml:space="preserve">Mr. </w:t>
      </w:r>
      <w:r w:rsidRPr="008B2295">
        <w:rPr>
          <w:rFonts w:ascii="Times Roman" w:hAnsi="Times Roman" w:cs="Times New Roman"/>
          <w:color w:val="212121"/>
          <w:lang w:val="en-GB"/>
        </w:rPr>
        <w:t>Durst’s with respect to the nature and purpose of the appropriated funds. However, just as the admitt</w:t>
      </w:r>
      <w:r>
        <w:rPr>
          <w:rFonts w:ascii="Times Roman" w:hAnsi="Times Roman" w:cs="Times New Roman"/>
          <w:color w:val="212121"/>
          <w:lang w:val="en-GB"/>
        </w:rPr>
        <w:t xml:space="preserve">ed dishonesty of the mother in </w:t>
      </w:r>
      <w:r>
        <w:rPr>
          <w:rFonts w:ascii="Times Roman" w:hAnsi="Times Roman" w:cs="Times New Roman"/>
          <w:i/>
          <w:color w:val="212121"/>
          <w:lang w:val="en-GB"/>
        </w:rPr>
        <w:t>R v Ilcyzsynn</w:t>
      </w:r>
      <w:r w:rsidRPr="008B2295">
        <w:rPr>
          <w:rFonts w:ascii="Times Roman" w:hAnsi="Times Roman" w:cs="Times New Roman"/>
          <w:color w:val="212121"/>
          <w:lang w:val="en-GB"/>
        </w:rPr>
        <w:t xml:space="preserve"> did not alter her lack of intent to contravene the court order, </w:t>
      </w:r>
      <w:r w:rsidR="001A0079">
        <w:rPr>
          <w:rFonts w:ascii="Times Roman" w:hAnsi="Times Roman" w:cs="Times New Roman"/>
          <w:color w:val="212121"/>
          <w:lang w:val="en-GB"/>
        </w:rPr>
        <w:t xml:space="preserve">alleged </w:t>
      </w:r>
      <w:r w:rsidRPr="008B2295">
        <w:rPr>
          <w:rFonts w:ascii="Times Roman" w:hAnsi="Times Roman" w:cs="Times New Roman"/>
          <w:color w:val="212121"/>
          <w:lang w:val="en-GB"/>
        </w:rPr>
        <w:t xml:space="preserve">inconsistent explanations offered by </w:t>
      </w:r>
      <w:r>
        <w:rPr>
          <w:rFonts w:ascii="Times Roman" w:hAnsi="Times Roman" w:cs="Times New Roman"/>
          <w:color w:val="212121"/>
          <w:lang w:val="en-GB"/>
        </w:rPr>
        <w:t xml:space="preserve">Mr. </w:t>
      </w:r>
      <w:r w:rsidRPr="008B2295">
        <w:rPr>
          <w:rFonts w:ascii="Times Roman" w:hAnsi="Times Roman" w:cs="Times New Roman"/>
          <w:color w:val="212121"/>
          <w:lang w:val="en-GB"/>
        </w:rPr>
        <w:t>Kalair to third parties cannot alter the fact that he acted at all times in accordance with his reasonably held belief that the</w:t>
      </w:r>
      <w:r>
        <w:rPr>
          <w:rFonts w:ascii="Times Roman" w:hAnsi="Times Roman" w:cs="Times New Roman"/>
          <w:color w:val="212121"/>
          <w:lang w:val="en-GB"/>
        </w:rPr>
        <w:t xml:space="preserve"> funds were his to use for the M</w:t>
      </w:r>
      <w:r w:rsidRPr="008B2295">
        <w:rPr>
          <w:rFonts w:ascii="Times Roman" w:hAnsi="Times Roman" w:cs="Times New Roman"/>
          <w:color w:val="212121"/>
          <w:lang w:val="en-GB"/>
        </w:rPr>
        <w:t>udarabah project.</w:t>
      </w:r>
      <w:r w:rsidR="00ED5A4E">
        <w:rPr>
          <w:rFonts w:ascii="Times Roman" w:hAnsi="Times Roman" w:cs="Times New Roman"/>
          <w:color w:val="212121"/>
          <w:lang w:val="en-GB"/>
        </w:rPr>
        <w:t xml:space="preserve"> (It should be noted that the defence does </w:t>
      </w:r>
      <w:r w:rsidR="00ED5A4E">
        <w:rPr>
          <w:rFonts w:ascii="Times Roman" w:hAnsi="Times Roman" w:cs="Times New Roman"/>
          <w:i/>
          <w:iCs/>
          <w:color w:val="212121"/>
          <w:lang w:val="en-GB"/>
        </w:rPr>
        <w:t xml:space="preserve">not </w:t>
      </w:r>
      <w:r w:rsidR="00ED5A4E">
        <w:rPr>
          <w:rFonts w:ascii="Times Roman" w:hAnsi="Times Roman" w:cs="Times New Roman"/>
          <w:color w:val="212121"/>
          <w:lang w:val="en-GB"/>
        </w:rPr>
        <w:t xml:space="preserve">concede that Kalair was dishonest in these conversations. A comparative analysis </w:t>
      </w:r>
      <w:r w:rsidR="00ED5A4E">
        <w:rPr>
          <w:rFonts w:ascii="Times Roman" w:hAnsi="Times Roman" w:cs="Times New Roman"/>
          <w:color w:val="212121"/>
          <w:lang w:val="en-GB"/>
        </w:rPr>
        <w:lastRenderedPageBreak/>
        <w:t>between Kalair’s evidence and that of Thompson’s and Durst’s can be found later in their respective witness sections.]</w:t>
      </w:r>
    </w:p>
    <w:p w14:paraId="604E282A" w14:textId="167376B4" w:rsidR="00F065CE" w:rsidRPr="00F4771D" w:rsidRDefault="008B2295"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Moreover, c</w:t>
      </w:r>
      <w:r w:rsidR="007A3734" w:rsidRPr="00F4771D">
        <w:rPr>
          <w:rFonts w:ascii="Times Roman" w:hAnsi="Times Roman"/>
          <w:lang w:val="en-GB"/>
        </w:rPr>
        <w:t xml:space="preserve">olour of right is informed by cultural practices and traditions. In </w:t>
      </w:r>
      <w:r w:rsidR="007A3734" w:rsidRPr="00F4771D">
        <w:rPr>
          <w:rFonts w:ascii="Times Roman" w:hAnsi="Times Roman"/>
          <w:i/>
          <w:lang w:val="en-GB"/>
        </w:rPr>
        <w:t>R v Potts</w:t>
      </w:r>
      <w:r w:rsidR="008552E4">
        <w:rPr>
          <w:rStyle w:val="FootnoteReference"/>
          <w:rFonts w:ascii="Times Roman" w:hAnsi="Times Roman"/>
          <w:i/>
          <w:lang w:val="en-GB"/>
        </w:rPr>
        <w:footnoteReference w:id="24"/>
      </w:r>
      <w:r w:rsidR="007A3734" w:rsidRPr="00F4771D">
        <w:rPr>
          <w:rFonts w:ascii="Times Roman" w:hAnsi="Times Roman"/>
          <w:i/>
          <w:lang w:val="en-GB"/>
        </w:rPr>
        <w:t>,</w:t>
      </w:r>
      <w:r w:rsidR="007A3734" w:rsidRPr="00F4771D">
        <w:rPr>
          <w:rFonts w:ascii="Times Roman" w:hAnsi="Times Roman"/>
          <w:lang w:val="en-GB"/>
        </w:rPr>
        <w:t xml:space="preserve"> the accused was an </w:t>
      </w:r>
      <w:r w:rsidR="00236557">
        <w:rPr>
          <w:rFonts w:ascii="Times Roman" w:hAnsi="Times Roman"/>
          <w:lang w:val="en-GB"/>
        </w:rPr>
        <w:t>indigenous</w:t>
      </w:r>
      <w:r w:rsidR="007A3734" w:rsidRPr="00F4771D">
        <w:rPr>
          <w:rFonts w:ascii="Times Roman" w:hAnsi="Times Roman"/>
          <w:lang w:val="en-GB"/>
        </w:rPr>
        <w:t xml:space="preserve"> Chief </w:t>
      </w:r>
      <w:r w:rsidR="00F065CE" w:rsidRPr="00F4771D">
        <w:rPr>
          <w:rFonts w:ascii="Times Roman" w:hAnsi="Times Roman"/>
          <w:bdr w:val="none" w:sz="0" w:space="0" w:color="auto" w:frame="1"/>
        </w:rPr>
        <w:t xml:space="preserve">who was charged with mischief after blocking </w:t>
      </w:r>
      <w:r w:rsidR="00F220F8">
        <w:rPr>
          <w:rFonts w:ascii="Times Roman" w:hAnsi="Times Roman"/>
          <w:bdr w:val="none" w:sz="0" w:space="0" w:color="auto" w:frame="1"/>
        </w:rPr>
        <w:t xml:space="preserve">a road that </w:t>
      </w:r>
      <w:r w:rsidR="00F065CE" w:rsidRPr="00F4771D">
        <w:rPr>
          <w:rFonts w:ascii="Times Roman" w:hAnsi="Times Roman"/>
          <w:bdr w:val="none" w:sz="0" w:space="0" w:color="auto" w:frame="1"/>
        </w:rPr>
        <w:t xml:space="preserve">was to be extended onto </w:t>
      </w:r>
      <w:r w:rsidR="00236557">
        <w:rPr>
          <w:rFonts w:ascii="Times Roman" w:hAnsi="Times Roman"/>
          <w:bdr w:val="none" w:sz="0" w:space="0" w:color="auto" w:frame="1"/>
        </w:rPr>
        <w:t>property</w:t>
      </w:r>
      <w:r w:rsidR="00F065CE" w:rsidRPr="00F4771D">
        <w:rPr>
          <w:rFonts w:ascii="Times Roman" w:hAnsi="Times Roman"/>
          <w:bdr w:val="none" w:sz="0" w:space="0" w:color="auto" w:frame="1"/>
        </w:rPr>
        <w:t xml:space="preserve"> that was the subject of a land claim issue. The</w:t>
      </w:r>
      <w:r w:rsidR="00F220F8">
        <w:rPr>
          <w:rFonts w:ascii="Times Roman" w:hAnsi="Times Roman"/>
          <w:bdr w:val="none" w:sz="0" w:space="0" w:color="auto" w:frame="1"/>
        </w:rPr>
        <w:t xml:space="preserve"> Chief and his p</w:t>
      </w:r>
      <w:r w:rsidR="00F065CE" w:rsidRPr="00F4771D">
        <w:rPr>
          <w:rFonts w:ascii="Times Roman" w:hAnsi="Times Roman"/>
          <w:bdr w:val="none" w:sz="0" w:space="0" w:color="auto" w:frame="1"/>
        </w:rPr>
        <w:t xml:space="preserve">eople believed they had a moral right to the land. The Court carefully discussed the distinction between an objective </w:t>
      </w:r>
      <w:r w:rsidR="00236557">
        <w:rPr>
          <w:rFonts w:ascii="Times Roman" w:hAnsi="Times Roman"/>
          <w:bdr w:val="none" w:sz="0" w:space="0" w:color="auto" w:frame="1"/>
        </w:rPr>
        <w:t>versus</w:t>
      </w:r>
      <w:r w:rsidR="00F065CE" w:rsidRPr="00F4771D">
        <w:rPr>
          <w:rFonts w:ascii="Times Roman" w:hAnsi="Times Roman"/>
          <w:bdr w:val="none" w:sz="0" w:space="0" w:color="auto" w:frame="1"/>
        </w:rPr>
        <w:t xml:space="preserve"> subjective view of colour of right as follows (emphasis added):</w:t>
      </w:r>
    </w:p>
    <w:p w14:paraId="5565F823" w14:textId="40A59380" w:rsidR="00F065CE" w:rsidRPr="00F4771D" w:rsidRDefault="00F065CE" w:rsidP="00F065CE">
      <w:pPr>
        <w:pStyle w:val="ListParagraph"/>
        <w:ind w:right="1134"/>
        <w:jc w:val="both"/>
        <w:rPr>
          <w:rFonts w:ascii="Times Roman" w:hAnsi="Times Roman"/>
          <w:u w:val="single"/>
          <w:shd w:val="clear" w:color="auto" w:fill="FFFFFF"/>
          <w:lang w:val="en-GB"/>
        </w:rPr>
      </w:pPr>
      <w:r w:rsidRPr="00F4771D">
        <w:rPr>
          <w:rFonts w:ascii="Times Roman" w:hAnsi="Times Roman"/>
          <w:shd w:val="clear" w:color="auto" w:fill="FFFFFF"/>
          <w:lang w:val="en-GB"/>
        </w:rPr>
        <w:t xml:space="preserve">From a purely objective point of view, from the point of view of an informed legal mind, and on the basis of English </w:t>
      </w:r>
      <w:r w:rsidR="00236557">
        <w:rPr>
          <w:rFonts w:ascii="Times Roman" w:hAnsi="Times Roman"/>
          <w:shd w:val="clear" w:color="auto" w:fill="FFFFFF"/>
          <w:lang w:val="en-GB"/>
        </w:rPr>
        <w:t>and</w:t>
      </w:r>
      <w:r w:rsidRPr="00F4771D">
        <w:rPr>
          <w:rFonts w:ascii="Times Roman" w:hAnsi="Times Roman"/>
          <w:shd w:val="clear" w:color="auto" w:fill="FFFFFF"/>
          <w:lang w:val="en-GB"/>
        </w:rPr>
        <w:t xml:space="preserve"> Canadian law standards and concepts, it is clear that the accused, Chief Gary Potts could not be said to have any semblance of "colour of right". But from an appropriate "subjective" point of view, having regard to his knowledge and belief which it must be said were based not only on some layman's appreciation of the legal system with which he was dealing, </w:t>
      </w:r>
      <w:r w:rsidRPr="00F4771D">
        <w:rPr>
          <w:rFonts w:ascii="Times Roman" w:hAnsi="Times Roman"/>
          <w:u w:val="single"/>
          <w:shd w:val="clear" w:color="auto" w:fill="FFFFFF"/>
          <w:lang w:val="en-GB"/>
        </w:rPr>
        <w:t>but also based on his beliefs founded on his knowledge of his ancestry and kinship, and their respective aboriginal traditions, the answer is not so readily attainable…</w:t>
      </w:r>
    </w:p>
    <w:p w14:paraId="028E8015" w14:textId="58EBD92D" w:rsidR="00F065CE" w:rsidRPr="00F4771D" w:rsidRDefault="00F065CE" w:rsidP="00F065CE">
      <w:pPr>
        <w:pStyle w:val="ListParagraph"/>
        <w:ind w:right="1134"/>
        <w:jc w:val="both"/>
        <w:rPr>
          <w:rFonts w:ascii="Times Roman" w:hAnsi="Times Roman"/>
          <w:bdr w:val="none" w:sz="0" w:space="0" w:color="auto" w:frame="1"/>
        </w:rPr>
      </w:pPr>
      <w:r w:rsidRPr="00F4771D">
        <w:rPr>
          <w:rFonts w:ascii="Times Roman" w:hAnsi="Times Roman"/>
          <w:u w:val="single"/>
          <w:shd w:val="clear" w:color="auto" w:fill="FFFFFF"/>
          <w:lang w:val="en-GB"/>
        </w:rPr>
        <w:t>Chief Potts was required to provide some evidence, which he did, to demonstrate to the Court, that there was some colour in the circumstances for his entertaining the opinion he claims to have had, and to still have</w:t>
      </w:r>
      <w:r w:rsidRPr="00F4771D">
        <w:rPr>
          <w:rFonts w:ascii="Times Roman" w:hAnsi="Times Roman"/>
          <w:shd w:val="clear" w:color="auto" w:fill="FFFFFF"/>
          <w:lang w:val="en-GB"/>
        </w:rPr>
        <w:t>…</w:t>
      </w:r>
      <w:r w:rsidRPr="00F4771D">
        <w:rPr>
          <w:rFonts w:ascii="Times Roman" w:hAnsi="Times Roman"/>
          <w:u w:val="single"/>
          <w:shd w:val="clear" w:color="auto" w:fill="FFFFFF"/>
          <w:lang w:val="en-GB"/>
        </w:rPr>
        <w:t xml:space="preserve"> </w:t>
      </w:r>
    </w:p>
    <w:p w14:paraId="37797F1E" w14:textId="77777777" w:rsidR="00F065CE" w:rsidRPr="00F4771D" w:rsidRDefault="00F065CE" w:rsidP="00F065CE">
      <w:pPr>
        <w:pStyle w:val="ListParagraph"/>
        <w:ind w:right="1134"/>
        <w:jc w:val="both"/>
        <w:rPr>
          <w:rFonts w:ascii="Times Roman" w:hAnsi="Times Roman"/>
          <w:sz w:val="20"/>
          <w:szCs w:val="20"/>
          <w:lang w:val="en-GB"/>
        </w:rPr>
      </w:pPr>
    </w:p>
    <w:p w14:paraId="068289C4" w14:textId="338EA04E" w:rsidR="00F065CE" w:rsidRPr="00F4771D" w:rsidRDefault="00F065CE" w:rsidP="00F065CE">
      <w:pPr>
        <w:pStyle w:val="ListParagraph"/>
        <w:ind w:right="1134"/>
        <w:jc w:val="both"/>
        <w:rPr>
          <w:rFonts w:ascii="Times Roman" w:hAnsi="Times Roman"/>
          <w:shd w:val="clear" w:color="auto" w:fill="FFFFFF"/>
          <w:lang w:val="en-GB"/>
        </w:rPr>
      </w:pPr>
      <w:r w:rsidRPr="002E57B8">
        <w:rPr>
          <w:rFonts w:ascii="Times Roman" w:hAnsi="Times Roman"/>
          <w:u w:val="single"/>
          <w:shd w:val="clear" w:color="auto" w:fill="FFFFFF"/>
          <w:lang w:val="en-GB"/>
        </w:rPr>
        <w:t>The ultimate burden is on the Crown and the critical question is whether Mr. Potts can be said to have had no honest belief in his right to take the action that he did.</w:t>
      </w:r>
      <w:r w:rsidRPr="00F4771D">
        <w:rPr>
          <w:rFonts w:ascii="Times Roman" w:hAnsi="Times Roman"/>
          <w:shd w:val="clear" w:color="auto" w:fill="FFFFFF"/>
          <w:lang w:val="en-GB"/>
        </w:rPr>
        <w:t xml:space="preserve"> In this case, and in these circumstances, I have a doubt that I must resolve in favour of the accused (pg 9) </w:t>
      </w:r>
    </w:p>
    <w:p w14:paraId="1FE2F397" w14:textId="77777777" w:rsidR="00F065CE" w:rsidRPr="00F4771D" w:rsidRDefault="00F065CE" w:rsidP="00F065CE">
      <w:pPr>
        <w:shd w:val="clear" w:color="auto" w:fill="FFFFFF"/>
        <w:spacing w:after="120" w:line="360" w:lineRule="auto"/>
        <w:jc w:val="both"/>
        <w:rPr>
          <w:rFonts w:ascii="Times Roman" w:hAnsi="Times Roman"/>
          <w:lang w:val="en-GB"/>
        </w:rPr>
      </w:pPr>
    </w:p>
    <w:p w14:paraId="750CB351" w14:textId="656F9E02" w:rsidR="00E4251C" w:rsidRDefault="002E57B8"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After conducting a subjective assessment of the honestly held belie</w:t>
      </w:r>
      <w:r w:rsidR="003F6C6E">
        <w:rPr>
          <w:rFonts w:ascii="Times Roman" w:hAnsi="Times Roman"/>
          <w:lang w:val="en-GB"/>
        </w:rPr>
        <w:t>fs</w:t>
      </w:r>
      <w:r>
        <w:rPr>
          <w:rFonts w:ascii="Times Roman" w:hAnsi="Times Roman"/>
          <w:lang w:val="en-GB"/>
        </w:rPr>
        <w:t xml:space="preserve"> of Chief Potts, and properly placing the burden to disprove colour of right beyond a reasonable doubt on the Crown, the Court acquitted the defendant. It did not matter that Chief Pott’s land claim was not legitimately enforceable in Canadian law.</w:t>
      </w:r>
      <w:r w:rsidR="00F4771D" w:rsidRPr="00F4771D">
        <w:rPr>
          <w:rFonts w:ascii="Times Roman" w:hAnsi="Times Roman"/>
          <w:lang w:val="en-GB"/>
        </w:rPr>
        <w:t xml:space="preserve"> </w:t>
      </w:r>
      <w:r>
        <w:rPr>
          <w:rFonts w:ascii="Times Roman" w:hAnsi="Times Roman"/>
          <w:lang w:val="en-GB"/>
        </w:rPr>
        <w:t xml:space="preserve">The defining characteristic of the case was Chief Pott’s honestly held belief, rooted in his aboriginal cultural traditions, that his actions were morally sound. If this court is left in reasonable doubt as to Mr. Kalair’s subjective honestly held belief of his right to deal with </w:t>
      </w:r>
      <w:r w:rsidR="00ED5A4E">
        <w:rPr>
          <w:rFonts w:ascii="Times Roman" w:hAnsi="Times Roman"/>
          <w:lang w:val="en-GB"/>
        </w:rPr>
        <w:t>UM</w:t>
      </w:r>
      <w:r>
        <w:rPr>
          <w:rFonts w:ascii="Times Roman" w:hAnsi="Times Roman"/>
          <w:lang w:val="en-GB"/>
        </w:rPr>
        <w:t xml:space="preserve"> funds in the </w:t>
      </w:r>
      <w:r>
        <w:rPr>
          <w:rFonts w:ascii="Times Roman" w:hAnsi="Times Roman"/>
          <w:lang w:val="en-GB"/>
        </w:rPr>
        <w:lastRenderedPageBreak/>
        <w:t>manner in which he did pursuant to his understanding of Sharia law, then he is not guilty in Canadian law of fraud, theft, or misappropriation of funds</w:t>
      </w:r>
      <w:r w:rsidR="003F6C6E">
        <w:rPr>
          <w:rFonts w:ascii="Times Roman" w:hAnsi="Times Roman"/>
          <w:lang w:val="en-GB"/>
        </w:rPr>
        <w:t xml:space="preserve"> and money laundering.</w:t>
      </w:r>
    </w:p>
    <w:p w14:paraId="27BEEEB2" w14:textId="6EE705B0" w:rsidR="00E4251C" w:rsidRDefault="002E57B8"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It is respectfully submitted that </w:t>
      </w:r>
      <w:r w:rsidR="00E4251C">
        <w:rPr>
          <w:rFonts w:ascii="Times Roman" w:hAnsi="Times Roman"/>
          <w:lang w:val="en-GB"/>
        </w:rPr>
        <w:t>Mr. Kalair had an honest belief in</w:t>
      </w:r>
      <w:r>
        <w:rPr>
          <w:rFonts w:ascii="Times Roman" w:hAnsi="Times Roman"/>
          <w:lang w:val="en-GB"/>
        </w:rPr>
        <w:t xml:space="preserve"> his</w:t>
      </w:r>
      <w:r w:rsidR="00E4251C">
        <w:rPr>
          <w:rFonts w:ascii="Times Roman" w:hAnsi="Times Roman"/>
          <w:lang w:val="en-GB"/>
        </w:rPr>
        <w:t xml:space="preserve"> claim</w:t>
      </w:r>
      <w:r>
        <w:rPr>
          <w:rFonts w:ascii="Times Roman" w:hAnsi="Times Roman"/>
          <w:lang w:val="en-GB"/>
        </w:rPr>
        <w:t xml:space="preserve"> to the funds in question</w:t>
      </w:r>
      <w:r w:rsidR="00E4251C">
        <w:rPr>
          <w:rFonts w:ascii="Times Roman" w:hAnsi="Times Roman"/>
          <w:lang w:val="en-GB"/>
        </w:rPr>
        <w:t xml:space="preserve">. </w:t>
      </w:r>
      <w:r>
        <w:rPr>
          <w:rFonts w:ascii="Times Roman" w:hAnsi="Times Roman"/>
          <w:lang w:val="en-GB"/>
        </w:rPr>
        <w:t xml:space="preserve">Kalair was so confident in his belief </w:t>
      </w:r>
      <w:r w:rsidR="003F6C6E">
        <w:rPr>
          <w:rFonts w:ascii="Times Roman" w:hAnsi="Times Roman"/>
          <w:lang w:val="en-GB"/>
        </w:rPr>
        <w:t>of</w:t>
      </w:r>
      <w:r>
        <w:rPr>
          <w:rFonts w:ascii="Times Roman" w:hAnsi="Times Roman"/>
          <w:lang w:val="en-GB"/>
        </w:rPr>
        <w:t xml:space="preserve"> the lawfulness of his actions that he launched a $50M civil action to recover damages he believed were owing to him arising out of C1’s alleged unilateral breach of the mudarabah contracts. Kalair went to great lengths to maintain the viability of this action, attempting to assign it to the SEB’s successor (MCC) in the hopes that the claim would survive UM’s insolvency and be adjudicated on the merits. </w:t>
      </w:r>
      <w:r w:rsidR="00B774B1">
        <w:rPr>
          <w:rFonts w:ascii="Times Roman" w:hAnsi="Times Roman"/>
          <w:lang w:val="en-GB"/>
        </w:rPr>
        <w:t xml:space="preserve">Ultimately, Kalair was outflanked </w:t>
      </w:r>
      <w:r w:rsidR="00E4251C">
        <w:rPr>
          <w:rFonts w:ascii="Times Roman" w:hAnsi="Times Roman"/>
          <w:lang w:val="en-GB"/>
        </w:rPr>
        <w:t>by C1 and Grant Thornton</w:t>
      </w:r>
      <w:r w:rsidR="00B774B1">
        <w:rPr>
          <w:rFonts w:ascii="Times Roman" w:hAnsi="Times Roman"/>
          <w:lang w:val="en-GB"/>
        </w:rPr>
        <w:t xml:space="preserve"> (GTL),</w:t>
      </w:r>
      <w:r w:rsidR="00E4251C">
        <w:rPr>
          <w:rFonts w:ascii="Times Roman" w:hAnsi="Times Roman"/>
          <w:lang w:val="en-GB"/>
        </w:rPr>
        <w:t xml:space="preserve"> acting in concert</w:t>
      </w:r>
      <w:r w:rsidR="00B774B1">
        <w:rPr>
          <w:rFonts w:ascii="Times Roman" w:hAnsi="Times Roman"/>
          <w:lang w:val="en-GB"/>
        </w:rPr>
        <w:t>,</w:t>
      </w:r>
      <w:r w:rsidR="00E4251C">
        <w:rPr>
          <w:rFonts w:ascii="Times Roman" w:hAnsi="Times Roman"/>
          <w:lang w:val="en-GB"/>
        </w:rPr>
        <w:t xml:space="preserve"> to ensure that the claim was never heard.</w:t>
      </w:r>
      <w:r w:rsidR="00ED5A4E">
        <w:rPr>
          <w:rFonts w:ascii="Times Roman" w:hAnsi="Times Roman"/>
          <w:lang w:val="en-GB"/>
        </w:rPr>
        <w:t xml:space="preserve"> </w:t>
      </w:r>
    </w:p>
    <w:p w14:paraId="3A7F46DB" w14:textId="2A651B8F" w:rsidR="00F220F8" w:rsidRDefault="00E4251C"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If the Crown cannot prove that Mr. Kalair lacked entitlement</w:t>
      </w:r>
      <w:r w:rsidR="00050585">
        <w:rPr>
          <w:rFonts w:ascii="Times Roman" w:hAnsi="Times Roman"/>
          <w:lang w:val="en-GB"/>
        </w:rPr>
        <w:t xml:space="preserve">, </w:t>
      </w:r>
      <w:r>
        <w:rPr>
          <w:rFonts w:ascii="Times Roman" w:hAnsi="Times Roman"/>
          <w:lang w:val="en-GB"/>
        </w:rPr>
        <w:t xml:space="preserve">and </w:t>
      </w:r>
      <w:r w:rsidR="00050585">
        <w:rPr>
          <w:rFonts w:ascii="Times Roman" w:hAnsi="Times Roman"/>
          <w:lang w:val="en-GB"/>
        </w:rPr>
        <w:t xml:space="preserve">that </w:t>
      </w:r>
      <w:r w:rsidR="00050585" w:rsidRPr="00050585">
        <w:rPr>
          <w:rFonts w:ascii="Times Roman" w:hAnsi="Times Roman"/>
          <w:b/>
          <w:bCs/>
          <w:i/>
          <w:iCs/>
          <w:lang w:val="en-GB"/>
        </w:rPr>
        <w:t xml:space="preserve">he </w:t>
      </w:r>
      <w:r w:rsidRPr="00050585">
        <w:rPr>
          <w:rFonts w:ascii="Times Roman" w:hAnsi="Times Roman"/>
          <w:b/>
          <w:bCs/>
          <w:i/>
          <w:iCs/>
          <w:lang w:val="en-GB"/>
        </w:rPr>
        <w:t>knew</w:t>
      </w:r>
      <w:r>
        <w:rPr>
          <w:rFonts w:ascii="Times Roman" w:hAnsi="Times Roman"/>
          <w:lang w:val="en-GB"/>
        </w:rPr>
        <w:t xml:space="preserve"> he lacked entitlement, </w:t>
      </w:r>
      <w:r w:rsidR="00050585">
        <w:rPr>
          <w:rFonts w:ascii="Times Roman" w:hAnsi="Times Roman"/>
          <w:lang w:val="en-GB"/>
        </w:rPr>
        <w:t xml:space="preserve">then the Crown fails to establish the necessary deceitfulness </w:t>
      </w:r>
      <w:r w:rsidR="003C4770">
        <w:rPr>
          <w:rFonts w:ascii="Times Roman" w:hAnsi="Times Roman"/>
          <w:lang w:val="en-GB"/>
        </w:rPr>
        <w:t>to support convictions</w:t>
      </w:r>
      <w:r w:rsidR="00F220F8">
        <w:rPr>
          <w:rFonts w:ascii="Times Roman" w:hAnsi="Times Roman"/>
          <w:lang w:val="en-GB"/>
        </w:rPr>
        <w:t>.</w:t>
      </w:r>
      <w:r w:rsidR="00ED5A4E">
        <w:rPr>
          <w:rFonts w:ascii="Times Roman" w:hAnsi="Times Roman"/>
          <w:lang w:val="en-GB"/>
        </w:rPr>
        <w:t xml:space="preserve"> The Crown’s burden is particularly challenging in light of the absence of any evidence demonstrating that Kalair personally benefitted from the allegedly misappropriated funds. While the Crown points (at paragraph 6 of its submi</w:t>
      </w:r>
      <w:r w:rsidR="005F6E94">
        <w:rPr>
          <w:rFonts w:ascii="Times Roman" w:hAnsi="Times Roman"/>
          <w:lang w:val="en-GB"/>
        </w:rPr>
        <w:t>ssions) to a handful of VISA expenses totalling $20,081.20 (out of a supposed $4M fraud), Kalair explained in his evidence that these sundry electronics items were purchased for the business and were indeed still present in the business office a</w:t>
      </w:r>
      <w:r w:rsidR="00993593">
        <w:rPr>
          <w:rFonts w:ascii="Times Roman" w:hAnsi="Times Roman"/>
          <w:lang w:val="en-GB"/>
        </w:rPr>
        <w:t>t the time of the receivership.</w:t>
      </w:r>
      <w:r w:rsidR="00CB2F22">
        <w:rPr>
          <w:rStyle w:val="FootnoteReference"/>
          <w:rFonts w:ascii="Times Roman" w:hAnsi="Times Roman"/>
          <w:lang w:val="en-GB"/>
        </w:rPr>
        <w:footnoteReference w:id="25"/>
      </w:r>
    </w:p>
    <w:p w14:paraId="747D5C16" w14:textId="57E87293" w:rsidR="005604EC" w:rsidRPr="00F220F8" w:rsidRDefault="00E4251C"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If Mr. Kalair honestly and genuinely believed that the homeowner funds were to be used in accordance with Islamic Finance rules to cover expenses</w:t>
      </w:r>
      <w:r w:rsidR="003C4770">
        <w:rPr>
          <w:rFonts w:ascii="Times Roman" w:hAnsi="Times Roman"/>
          <w:lang w:val="en-GB"/>
        </w:rPr>
        <w:t xml:space="preserve"> (including those of the SEB/MCC)</w:t>
      </w:r>
      <w:r>
        <w:rPr>
          <w:rFonts w:ascii="Times Roman" w:hAnsi="Times Roman"/>
          <w:lang w:val="en-GB"/>
        </w:rPr>
        <w:t xml:space="preserve">, there is nothing </w:t>
      </w:r>
      <w:r w:rsidR="003C4770">
        <w:rPr>
          <w:rFonts w:ascii="Times Roman" w:hAnsi="Times Roman"/>
          <w:lang w:val="en-GB"/>
        </w:rPr>
        <w:t xml:space="preserve">inherently </w:t>
      </w:r>
      <w:r>
        <w:rPr>
          <w:rFonts w:ascii="Times Roman" w:hAnsi="Times Roman"/>
          <w:lang w:val="en-GB"/>
        </w:rPr>
        <w:t xml:space="preserve">deceitful or dishonest about his behaviour and the </w:t>
      </w:r>
      <w:r w:rsidR="003F6C6E">
        <w:rPr>
          <w:rFonts w:ascii="Times Roman" w:hAnsi="Times Roman"/>
          <w:lang w:val="en-GB"/>
        </w:rPr>
        <w:t>necessary</w:t>
      </w:r>
      <w:r>
        <w:rPr>
          <w:rFonts w:ascii="Times Roman" w:hAnsi="Times Roman"/>
          <w:lang w:val="en-GB"/>
        </w:rPr>
        <w:t xml:space="preserve"> element</w:t>
      </w:r>
      <w:r w:rsidR="003F6C6E">
        <w:rPr>
          <w:rFonts w:ascii="Times Roman" w:hAnsi="Times Roman"/>
          <w:lang w:val="en-GB"/>
        </w:rPr>
        <w:t>s</w:t>
      </w:r>
      <w:r>
        <w:rPr>
          <w:rFonts w:ascii="Times Roman" w:hAnsi="Times Roman"/>
          <w:lang w:val="en-GB"/>
        </w:rPr>
        <w:t xml:space="preserve"> for counts one through six cannot be made out.  </w:t>
      </w:r>
    </w:p>
    <w:p w14:paraId="773C119B" w14:textId="6E64CDEC" w:rsidR="00E054BF" w:rsidRDefault="00E054BF" w:rsidP="00E054BF">
      <w:pPr>
        <w:pStyle w:val="Heading1"/>
        <w:spacing w:before="0" w:after="120" w:line="360" w:lineRule="auto"/>
        <w:jc w:val="both"/>
        <w:rPr>
          <w:rFonts w:ascii="Times" w:hAnsi="Times" w:cs="Times"/>
          <w:color w:val="auto"/>
        </w:rPr>
      </w:pPr>
      <w:bookmarkStart w:id="7" w:name="_Toc411860384"/>
      <w:r>
        <w:rPr>
          <w:rFonts w:ascii="Times" w:hAnsi="Times" w:cs="Times"/>
          <w:color w:val="auto"/>
        </w:rPr>
        <w:t xml:space="preserve">Admissibility </w:t>
      </w:r>
      <w:r w:rsidR="003C4770">
        <w:rPr>
          <w:rFonts w:ascii="Times" w:hAnsi="Times" w:cs="Times"/>
          <w:color w:val="auto"/>
        </w:rPr>
        <w:t>of Expert Evidence</w:t>
      </w:r>
      <w:bookmarkEnd w:id="7"/>
      <w:r w:rsidRPr="001F4229">
        <w:rPr>
          <w:rFonts w:ascii="Times" w:hAnsi="Times" w:cs="Times"/>
          <w:color w:val="auto"/>
        </w:rPr>
        <w:t xml:space="preserve"> </w:t>
      </w:r>
    </w:p>
    <w:p w14:paraId="2620DDA4" w14:textId="7DFAFC0C" w:rsidR="00E054BF" w:rsidRPr="005604EC" w:rsidRDefault="007E0AF9" w:rsidP="00C87CF5">
      <w:pPr>
        <w:pStyle w:val="Heading2"/>
        <w:numPr>
          <w:ilvl w:val="0"/>
          <w:numId w:val="2"/>
        </w:numPr>
        <w:rPr>
          <w:rFonts w:ascii="Times Roman" w:hAnsi="Times Roman"/>
        </w:rPr>
      </w:pPr>
      <w:bookmarkStart w:id="8" w:name="_Toc411860385"/>
      <w:r>
        <w:rPr>
          <w:rFonts w:ascii="Times Roman" w:hAnsi="Times Roman"/>
        </w:rPr>
        <w:t xml:space="preserve">Testimony of </w:t>
      </w:r>
      <w:r w:rsidR="00E054BF" w:rsidRPr="00E054BF">
        <w:rPr>
          <w:rFonts w:ascii="Times Roman" w:hAnsi="Times Roman"/>
        </w:rPr>
        <w:t>Abdulkader Thomas</w:t>
      </w:r>
      <w:bookmarkEnd w:id="8"/>
    </w:p>
    <w:p w14:paraId="5341FE5C" w14:textId="15D64FA6" w:rsidR="00E054BF" w:rsidRDefault="00E054B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Crown has entirely misconstrued the expert opinion of Mr. Thomas. The purpose of Mr. Thomas’s testimony was not to </w:t>
      </w:r>
      <w:r w:rsidR="00A553BB">
        <w:rPr>
          <w:rFonts w:ascii="Times Roman" w:hAnsi="Times Roman"/>
          <w:lang w:val="en-GB"/>
        </w:rPr>
        <w:t>opine on</w:t>
      </w:r>
      <w:r w:rsidR="00955938">
        <w:rPr>
          <w:rFonts w:ascii="Times Roman" w:hAnsi="Times Roman"/>
          <w:lang w:val="en-GB"/>
        </w:rPr>
        <w:t xml:space="preserve"> Mr. Kalair</w:t>
      </w:r>
      <w:r w:rsidR="002006BE">
        <w:rPr>
          <w:rFonts w:ascii="Times Roman" w:hAnsi="Times Roman"/>
          <w:lang w:val="en-GB"/>
        </w:rPr>
        <w:t>’s</w:t>
      </w:r>
      <w:r w:rsidR="00955938">
        <w:rPr>
          <w:rFonts w:ascii="Times Roman" w:hAnsi="Times Roman"/>
          <w:lang w:val="en-GB"/>
        </w:rPr>
        <w:t xml:space="preserve"> </w:t>
      </w:r>
      <w:r w:rsidR="002006BE">
        <w:rPr>
          <w:rFonts w:ascii="Times Roman" w:hAnsi="Times Roman"/>
          <w:lang w:val="en-GB"/>
        </w:rPr>
        <w:t xml:space="preserve">credibility as a </w:t>
      </w:r>
      <w:r w:rsidR="002006BE">
        <w:rPr>
          <w:rFonts w:ascii="Times Roman" w:hAnsi="Times Roman"/>
          <w:lang w:val="en-GB"/>
        </w:rPr>
        <w:lastRenderedPageBreak/>
        <w:t>witness</w:t>
      </w:r>
      <w:r>
        <w:rPr>
          <w:rFonts w:ascii="Times Roman" w:hAnsi="Times Roman"/>
          <w:lang w:val="en-GB"/>
        </w:rPr>
        <w:t>. That is a matter for the trier</w:t>
      </w:r>
      <w:r w:rsidR="002006BE">
        <w:rPr>
          <w:rFonts w:ascii="Times Roman" w:hAnsi="Times Roman"/>
          <w:lang w:val="en-GB"/>
        </w:rPr>
        <w:t>-</w:t>
      </w:r>
      <w:r>
        <w:rPr>
          <w:rFonts w:ascii="Times Roman" w:hAnsi="Times Roman"/>
          <w:lang w:val="en-GB"/>
        </w:rPr>
        <w:t>of</w:t>
      </w:r>
      <w:r w:rsidR="002006BE">
        <w:rPr>
          <w:rFonts w:ascii="Times Roman" w:hAnsi="Times Roman"/>
          <w:lang w:val="en-GB"/>
        </w:rPr>
        <w:t>-</w:t>
      </w:r>
      <w:r>
        <w:rPr>
          <w:rFonts w:ascii="Times Roman" w:hAnsi="Times Roman"/>
          <w:lang w:val="en-GB"/>
        </w:rPr>
        <w:t xml:space="preserve">fact. The true purpose of Mr. Thomas’s expert evidence was to provide background and knowledge about what is normative in the context of Islamic Finance. </w:t>
      </w:r>
      <w:r w:rsidR="002006BE">
        <w:rPr>
          <w:rFonts w:ascii="Times Roman" w:hAnsi="Times Roman"/>
          <w:lang w:val="en-GB"/>
        </w:rPr>
        <w:t>Without expert evidence on the rules and functioning of Islamic Finance, it is impossible for a trier-of-fact to fairly assess Kalair’s conduct against the appropriate backdrop. In the simplest example, an unwillingness to pay conventional interest on a loan would appear bizarre and lack the hallmarks of credibility and honesty</w:t>
      </w:r>
      <w:r w:rsidR="00AA57B2">
        <w:rPr>
          <w:rFonts w:ascii="Times Roman" w:hAnsi="Times Roman"/>
          <w:lang w:val="en-GB"/>
        </w:rPr>
        <w:t>,</w:t>
      </w:r>
      <w:r w:rsidR="002006BE">
        <w:rPr>
          <w:rFonts w:ascii="Times Roman" w:hAnsi="Times Roman"/>
          <w:lang w:val="en-GB"/>
        </w:rPr>
        <w:t xml:space="preserve"> appearing at first glance to be deceitful, until one learns that the payment of interest is considered a serious sin in the Islamic faith and violates a central pillar of sharia law. This issue applies across the full range of Kalair’s activities which cannot be fairly assessed as being honest versus deceitful unless one has an expert understanding of the Islamic Finance rules under which he is operating.</w:t>
      </w:r>
    </w:p>
    <w:p w14:paraId="5D2C0AB6" w14:textId="4C51141A" w:rsidR="00521821" w:rsidRDefault="00E054B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Mr. Thomas’s evidence cannot be taken to say, “Mr. Kalair should be believed”. That is the Court’s responsibility. However, Mr. Thomas’s evidence assists in educating the Court on industry standards, against which standard, Mr. Kalair’s behaviour </w:t>
      </w:r>
      <w:r w:rsidR="002006BE">
        <w:rPr>
          <w:rFonts w:ascii="Times Roman" w:hAnsi="Times Roman"/>
          <w:lang w:val="en-GB"/>
        </w:rPr>
        <w:t>must</w:t>
      </w:r>
      <w:r>
        <w:rPr>
          <w:rFonts w:ascii="Times Roman" w:hAnsi="Times Roman"/>
          <w:lang w:val="en-GB"/>
        </w:rPr>
        <w:t xml:space="preserve"> be measured</w:t>
      </w:r>
      <w:r w:rsidR="002006BE">
        <w:rPr>
          <w:rFonts w:ascii="Times Roman" w:hAnsi="Times Roman"/>
          <w:lang w:val="en-GB"/>
        </w:rPr>
        <w:t xml:space="preserve"> and understood</w:t>
      </w:r>
      <w:r>
        <w:rPr>
          <w:rFonts w:ascii="Times Roman" w:hAnsi="Times Roman"/>
          <w:lang w:val="en-GB"/>
        </w:rPr>
        <w:t xml:space="preserve">. </w:t>
      </w:r>
    </w:p>
    <w:p w14:paraId="25C7E8D0" w14:textId="06562C65" w:rsidR="00E054BF" w:rsidRDefault="00521821"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Mr. Thomas’s evidence provides an alternative to North American Finance and allows the trier of fact to view the contracts and relationships in the context of typical Islamic Finance companies.  His evidence assists in assess</w:t>
      </w:r>
      <w:r w:rsidR="002006BE">
        <w:rPr>
          <w:rFonts w:ascii="Times Roman" w:hAnsi="Times Roman"/>
          <w:lang w:val="en-GB"/>
        </w:rPr>
        <w:t>ing numerous important facts that may colour the actions of Mr. Kalair. These include</w:t>
      </w:r>
      <w:r>
        <w:rPr>
          <w:rFonts w:ascii="Times Roman" w:hAnsi="Times Roman"/>
          <w:lang w:val="en-GB"/>
        </w:rPr>
        <w:t>:</w:t>
      </w:r>
    </w:p>
    <w:p w14:paraId="0036A7F8" w14:textId="16DB98B4" w:rsidR="002006BE" w:rsidRDefault="002006BE" w:rsidP="00C87CF5">
      <w:pPr>
        <w:pStyle w:val="ListParagraph"/>
        <w:numPr>
          <w:ilvl w:val="0"/>
          <w:numId w:val="3"/>
        </w:numPr>
        <w:shd w:val="clear" w:color="auto" w:fill="FFFFFF"/>
        <w:spacing w:after="120" w:line="360" w:lineRule="auto"/>
        <w:jc w:val="both"/>
        <w:rPr>
          <w:rFonts w:ascii="Times Roman" w:hAnsi="Times Roman"/>
          <w:lang w:val="en-GB"/>
        </w:rPr>
      </w:pPr>
      <w:r>
        <w:rPr>
          <w:rFonts w:ascii="Times Roman" w:hAnsi="Times Roman"/>
          <w:lang w:val="en-GB"/>
        </w:rPr>
        <w:t>The core principles of a mudarabah and how such a relationship may be formed u</w:t>
      </w:r>
      <w:r w:rsidR="00AA57B2">
        <w:rPr>
          <w:rFonts w:ascii="Times Roman" w:hAnsi="Times Roman"/>
          <w:lang w:val="en-GB"/>
        </w:rPr>
        <w:t>sing</w:t>
      </w:r>
      <w:r>
        <w:rPr>
          <w:rFonts w:ascii="Times Roman" w:hAnsi="Times Roman"/>
          <w:lang w:val="en-GB"/>
        </w:rPr>
        <w:t xml:space="preserve"> traditional western legal contracts;</w:t>
      </w:r>
    </w:p>
    <w:p w14:paraId="06159887" w14:textId="1DB2C540" w:rsidR="002006BE" w:rsidRDefault="002006BE" w:rsidP="00C87CF5">
      <w:pPr>
        <w:pStyle w:val="ListParagraph"/>
        <w:numPr>
          <w:ilvl w:val="0"/>
          <w:numId w:val="3"/>
        </w:numPr>
        <w:shd w:val="clear" w:color="auto" w:fill="FFFFFF"/>
        <w:spacing w:after="120" w:line="360" w:lineRule="auto"/>
        <w:jc w:val="both"/>
        <w:rPr>
          <w:rFonts w:ascii="Times Roman" w:hAnsi="Times Roman"/>
          <w:lang w:val="en-GB"/>
        </w:rPr>
      </w:pPr>
      <w:r>
        <w:rPr>
          <w:rFonts w:ascii="Times Roman" w:hAnsi="Times Roman"/>
          <w:lang w:val="en-GB"/>
        </w:rPr>
        <w:t>What deference, if any, is typically accorded by IFIs to their SEBs;</w:t>
      </w:r>
    </w:p>
    <w:p w14:paraId="2AB4C543" w14:textId="7072D3DD" w:rsidR="00521821" w:rsidRPr="00521821" w:rsidRDefault="002006BE" w:rsidP="00C87CF5">
      <w:pPr>
        <w:pStyle w:val="ListParagraph"/>
        <w:numPr>
          <w:ilvl w:val="0"/>
          <w:numId w:val="3"/>
        </w:numPr>
        <w:shd w:val="clear" w:color="auto" w:fill="FFFFFF"/>
        <w:spacing w:after="120" w:line="360" w:lineRule="auto"/>
        <w:jc w:val="both"/>
        <w:rPr>
          <w:rFonts w:ascii="Times Roman" w:hAnsi="Times Roman"/>
          <w:lang w:val="en-GB"/>
        </w:rPr>
      </w:pPr>
      <w:r>
        <w:rPr>
          <w:rFonts w:ascii="Times Roman" w:hAnsi="Times Roman"/>
          <w:lang w:val="en-GB"/>
        </w:rPr>
        <w:t>Whether i</w:t>
      </w:r>
      <w:r w:rsidR="00521821" w:rsidRPr="00521821">
        <w:rPr>
          <w:rFonts w:ascii="Times Roman" w:hAnsi="Times Roman"/>
          <w:lang w:val="en-GB"/>
        </w:rPr>
        <w:t>t is normative to pay SEB members;</w:t>
      </w:r>
    </w:p>
    <w:p w14:paraId="68767A8D" w14:textId="7A462699" w:rsidR="00521821" w:rsidRDefault="00521821" w:rsidP="00C87CF5">
      <w:pPr>
        <w:pStyle w:val="ListParagraph"/>
        <w:numPr>
          <w:ilvl w:val="0"/>
          <w:numId w:val="3"/>
        </w:numPr>
        <w:shd w:val="clear" w:color="auto" w:fill="FFFFFF"/>
        <w:spacing w:after="120" w:line="360" w:lineRule="auto"/>
        <w:jc w:val="both"/>
        <w:rPr>
          <w:rFonts w:ascii="Times Roman" w:hAnsi="Times Roman"/>
          <w:lang w:val="en-GB"/>
        </w:rPr>
      </w:pPr>
      <w:r>
        <w:rPr>
          <w:rFonts w:ascii="Times Roman" w:hAnsi="Times Roman"/>
          <w:lang w:val="en-GB"/>
        </w:rPr>
        <w:t>How much SEB members are paid;</w:t>
      </w:r>
    </w:p>
    <w:p w14:paraId="16F619BD" w14:textId="6F1AFBB3" w:rsidR="00521821" w:rsidRDefault="00521821" w:rsidP="00C87CF5">
      <w:pPr>
        <w:pStyle w:val="ListParagraph"/>
        <w:numPr>
          <w:ilvl w:val="0"/>
          <w:numId w:val="3"/>
        </w:numPr>
        <w:shd w:val="clear" w:color="auto" w:fill="FFFFFF"/>
        <w:spacing w:after="120" w:line="360" w:lineRule="auto"/>
        <w:jc w:val="both"/>
        <w:rPr>
          <w:rFonts w:ascii="Times Roman" w:hAnsi="Times Roman"/>
          <w:lang w:val="en-GB"/>
        </w:rPr>
      </w:pPr>
      <w:r>
        <w:rPr>
          <w:rFonts w:ascii="Times Roman" w:hAnsi="Times Roman"/>
          <w:lang w:val="en-GB"/>
        </w:rPr>
        <w:t>Whether SEB members would defer receipt of payment;</w:t>
      </w:r>
    </w:p>
    <w:p w14:paraId="7043AB99" w14:textId="6E45F01B" w:rsidR="00521821" w:rsidRDefault="00521821" w:rsidP="00C87CF5">
      <w:pPr>
        <w:pStyle w:val="ListParagraph"/>
        <w:numPr>
          <w:ilvl w:val="0"/>
          <w:numId w:val="3"/>
        </w:numPr>
        <w:shd w:val="clear" w:color="auto" w:fill="FFFFFF"/>
        <w:spacing w:after="120" w:line="360" w:lineRule="auto"/>
        <w:jc w:val="both"/>
        <w:rPr>
          <w:rFonts w:ascii="Times Roman" w:hAnsi="Times Roman"/>
          <w:lang w:val="en-GB"/>
        </w:rPr>
      </w:pPr>
      <w:r>
        <w:rPr>
          <w:rFonts w:ascii="Times Roman" w:hAnsi="Times Roman"/>
          <w:lang w:val="en-GB"/>
        </w:rPr>
        <w:t>Whether SEBs could be paid in precious metals;</w:t>
      </w:r>
    </w:p>
    <w:p w14:paraId="0C191D12" w14:textId="3537071E" w:rsidR="002006BE" w:rsidRDefault="002006BE" w:rsidP="00C87CF5">
      <w:pPr>
        <w:pStyle w:val="ListParagraph"/>
        <w:numPr>
          <w:ilvl w:val="0"/>
          <w:numId w:val="3"/>
        </w:numPr>
        <w:shd w:val="clear" w:color="auto" w:fill="FFFFFF"/>
        <w:spacing w:after="120" w:line="360" w:lineRule="auto"/>
        <w:jc w:val="both"/>
        <w:rPr>
          <w:rFonts w:ascii="Times Roman" w:hAnsi="Times Roman"/>
          <w:lang w:val="en-GB"/>
        </w:rPr>
      </w:pPr>
      <w:r>
        <w:rPr>
          <w:rFonts w:ascii="Times Roman" w:hAnsi="Times Roman"/>
          <w:lang w:val="en-GB"/>
        </w:rPr>
        <w:t>The cultural significance of gold in Islamic Finance</w:t>
      </w:r>
    </w:p>
    <w:p w14:paraId="7936EA40" w14:textId="6E9456E8" w:rsidR="00521821" w:rsidRDefault="00521821" w:rsidP="00C87CF5">
      <w:pPr>
        <w:pStyle w:val="ListParagraph"/>
        <w:numPr>
          <w:ilvl w:val="0"/>
          <w:numId w:val="3"/>
        </w:numPr>
        <w:shd w:val="clear" w:color="auto" w:fill="FFFFFF"/>
        <w:spacing w:after="120" w:line="360" w:lineRule="auto"/>
        <w:jc w:val="both"/>
        <w:rPr>
          <w:rFonts w:ascii="Times Roman" w:hAnsi="Times Roman"/>
          <w:lang w:val="en-GB"/>
        </w:rPr>
      </w:pPr>
      <w:r>
        <w:rPr>
          <w:rFonts w:ascii="Times Roman" w:hAnsi="Times Roman"/>
          <w:lang w:val="en-GB"/>
        </w:rPr>
        <w:t>Whether SEBs can impose fines; and</w:t>
      </w:r>
    </w:p>
    <w:p w14:paraId="0762A659" w14:textId="2AAB72D5" w:rsidR="00521821" w:rsidRDefault="00521821" w:rsidP="00C87CF5">
      <w:pPr>
        <w:pStyle w:val="ListParagraph"/>
        <w:numPr>
          <w:ilvl w:val="0"/>
          <w:numId w:val="3"/>
        </w:numPr>
        <w:shd w:val="clear" w:color="auto" w:fill="FFFFFF"/>
        <w:spacing w:after="120" w:line="360" w:lineRule="auto"/>
        <w:jc w:val="both"/>
        <w:rPr>
          <w:rFonts w:ascii="Times Roman" w:hAnsi="Times Roman"/>
          <w:lang w:val="en-GB"/>
        </w:rPr>
      </w:pPr>
      <w:r>
        <w:rPr>
          <w:rFonts w:ascii="Times Roman" w:hAnsi="Times Roman"/>
          <w:lang w:val="en-GB"/>
        </w:rPr>
        <w:t xml:space="preserve">Other material elements that are necessary to conduct a fair assessment of Mr. Kalair’s conduct in the circumstances of this case. </w:t>
      </w:r>
    </w:p>
    <w:p w14:paraId="4074737E" w14:textId="77777777" w:rsidR="00521821" w:rsidRPr="00521821" w:rsidRDefault="00521821" w:rsidP="00521821">
      <w:pPr>
        <w:pStyle w:val="ListParagraph"/>
        <w:shd w:val="clear" w:color="auto" w:fill="FFFFFF"/>
        <w:spacing w:after="120" w:line="360" w:lineRule="auto"/>
        <w:jc w:val="both"/>
        <w:rPr>
          <w:rFonts w:ascii="Times Roman" w:hAnsi="Times Roman"/>
          <w:lang w:val="en-GB"/>
        </w:rPr>
      </w:pPr>
    </w:p>
    <w:p w14:paraId="0EBF00E5" w14:textId="7ADD93B1" w:rsidR="00521821" w:rsidRPr="005604EC" w:rsidRDefault="007E0AF9"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w:t>
      </w:r>
      <w:r w:rsidRPr="007E0AF9">
        <w:rPr>
          <w:rFonts w:ascii="Times Roman" w:hAnsi="Times Roman"/>
          <w:lang w:val="en-GB"/>
        </w:rPr>
        <w:t xml:space="preserve">Crown </w:t>
      </w:r>
      <w:r w:rsidR="002B4EAF">
        <w:rPr>
          <w:rFonts w:ascii="Times Roman" w:hAnsi="Times Roman"/>
          <w:lang w:val="en-GB"/>
        </w:rPr>
        <w:t>further</w:t>
      </w:r>
      <w:r w:rsidRPr="007E0AF9">
        <w:rPr>
          <w:rFonts w:ascii="Times Roman" w:hAnsi="Times Roman"/>
          <w:lang w:val="en-GB"/>
        </w:rPr>
        <w:t xml:space="preserve"> contends that </w:t>
      </w:r>
      <w:r>
        <w:rPr>
          <w:rFonts w:ascii="Times Roman" w:hAnsi="Times Roman"/>
        </w:rPr>
        <w:t xml:space="preserve">Mr. Thomas </w:t>
      </w:r>
      <w:r w:rsidRPr="007E0AF9">
        <w:rPr>
          <w:rFonts w:ascii="Times Roman" w:hAnsi="Times Roman"/>
        </w:rPr>
        <w:t>was not sufficiently independent, credible or reliable to be permitted to provide an expert opinion.</w:t>
      </w:r>
      <w:r w:rsidR="0039416C">
        <w:rPr>
          <w:rFonts w:ascii="Times Roman" w:hAnsi="Times Roman"/>
        </w:rPr>
        <w:t xml:space="preserve"> The Crown’s concerns relate to </w:t>
      </w:r>
      <w:r w:rsidR="00955938">
        <w:rPr>
          <w:rFonts w:ascii="Times Roman" w:hAnsi="Times Roman"/>
        </w:rPr>
        <w:t xml:space="preserve">both </w:t>
      </w:r>
      <w:r w:rsidR="0039416C">
        <w:rPr>
          <w:rFonts w:ascii="Times Roman" w:hAnsi="Times Roman"/>
        </w:rPr>
        <w:t xml:space="preserve">qualifications and documents reviewed. </w:t>
      </w:r>
    </w:p>
    <w:p w14:paraId="20A45F62" w14:textId="77777777" w:rsidR="005604EC" w:rsidRPr="00743760" w:rsidRDefault="005604EC" w:rsidP="005604EC">
      <w:pPr>
        <w:pStyle w:val="ListParagraph"/>
        <w:shd w:val="clear" w:color="auto" w:fill="FFFFFF"/>
        <w:spacing w:after="120" w:line="360" w:lineRule="auto"/>
        <w:ind w:left="0"/>
        <w:contextualSpacing w:val="0"/>
        <w:jc w:val="both"/>
        <w:rPr>
          <w:rFonts w:ascii="Times Roman" w:hAnsi="Times Roman"/>
          <w:lang w:val="en-GB"/>
        </w:rPr>
      </w:pPr>
    </w:p>
    <w:p w14:paraId="2E408B8C" w14:textId="376094D7" w:rsidR="00743760" w:rsidRPr="00743760" w:rsidRDefault="00743760" w:rsidP="00743760">
      <w:pPr>
        <w:pStyle w:val="Heading3"/>
        <w:rPr>
          <w:color w:val="auto"/>
          <w:lang w:val="en-GB"/>
        </w:rPr>
      </w:pPr>
      <w:bookmarkStart w:id="9" w:name="_Toc411860386"/>
      <w:r w:rsidRPr="00743760">
        <w:rPr>
          <w:color w:val="auto"/>
          <w:lang w:val="en-GB"/>
        </w:rPr>
        <w:t>Qualifications</w:t>
      </w:r>
      <w:bookmarkEnd w:id="9"/>
    </w:p>
    <w:p w14:paraId="40F4D3CA" w14:textId="5BD27632" w:rsidR="00855F74" w:rsidRPr="002B4EAF" w:rsidRDefault="002B4EA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w:hAnsi="Times"/>
        </w:rPr>
        <w:t xml:space="preserve">Crown’s submissions at paragraph 216 suggest that Mr. Thomas overstated his prior experience as an expert witness. </w:t>
      </w:r>
      <w:r w:rsidR="00743760" w:rsidRPr="000B0284">
        <w:rPr>
          <w:rFonts w:ascii="Times" w:hAnsi="Times"/>
        </w:rPr>
        <w:t xml:space="preserve">Mr. Thomas </w:t>
      </w:r>
      <w:r w:rsidR="00743760">
        <w:rPr>
          <w:rFonts w:ascii="Times" w:hAnsi="Times"/>
        </w:rPr>
        <w:t>did serve</w:t>
      </w:r>
      <w:r w:rsidR="00743760" w:rsidRPr="000B0284">
        <w:rPr>
          <w:rFonts w:ascii="Times" w:hAnsi="Times"/>
        </w:rPr>
        <w:t xml:space="preserve"> as an expert witness in an ongoing bankruptcy case in the Second District Court of New York</w:t>
      </w:r>
      <w:r w:rsidR="00743760">
        <w:rPr>
          <w:rFonts w:ascii="Times" w:hAnsi="Times"/>
        </w:rPr>
        <w:t xml:space="preserve">. It is grossly unfair to suggest otherwise. Thomas </w:t>
      </w:r>
      <w:r>
        <w:rPr>
          <w:rFonts w:ascii="Times" w:hAnsi="Times"/>
        </w:rPr>
        <w:t xml:space="preserve">testified that he </w:t>
      </w:r>
      <w:r w:rsidR="00743760">
        <w:rPr>
          <w:rFonts w:ascii="Times" w:hAnsi="Times"/>
        </w:rPr>
        <w:t xml:space="preserve">was hired for his expertise and provided </w:t>
      </w:r>
      <w:r>
        <w:rPr>
          <w:rFonts w:ascii="Times" w:hAnsi="Times"/>
        </w:rPr>
        <w:t xml:space="preserve">expert </w:t>
      </w:r>
      <w:r w:rsidR="00743760">
        <w:rPr>
          <w:rFonts w:ascii="Times" w:hAnsi="Times"/>
        </w:rPr>
        <w:t>advice and reports</w:t>
      </w:r>
      <w:r>
        <w:rPr>
          <w:rFonts w:ascii="Times" w:hAnsi="Times"/>
        </w:rPr>
        <w:t xml:space="preserve"> to one of the parties</w:t>
      </w:r>
      <w:r w:rsidR="00743760">
        <w:rPr>
          <w:rFonts w:ascii="Times" w:hAnsi="Times"/>
        </w:rPr>
        <w:t xml:space="preserve">. The issue of qualification never arose </w:t>
      </w:r>
      <w:r>
        <w:rPr>
          <w:rFonts w:ascii="Times" w:hAnsi="Times"/>
        </w:rPr>
        <w:t>as</w:t>
      </w:r>
      <w:r w:rsidR="00743760">
        <w:rPr>
          <w:rFonts w:ascii="Times" w:hAnsi="Times"/>
        </w:rPr>
        <w:t xml:space="preserve"> </w:t>
      </w:r>
      <w:r w:rsidR="00D62FC4">
        <w:rPr>
          <w:rFonts w:ascii="Times" w:hAnsi="Times"/>
        </w:rPr>
        <w:t>the case had not gone to trial.</w:t>
      </w:r>
      <w:r w:rsidR="00D62FC4">
        <w:rPr>
          <w:rStyle w:val="FootnoteReference"/>
          <w:rFonts w:ascii="Times" w:hAnsi="Times"/>
        </w:rPr>
        <w:footnoteReference w:id="26"/>
      </w:r>
    </w:p>
    <w:p w14:paraId="0EAA65B6" w14:textId="147974DB" w:rsidR="00743760" w:rsidRPr="002B4EAF" w:rsidRDefault="002B4EA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2B4EAF">
        <w:rPr>
          <w:rFonts w:ascii="Times Roman" w:hAnsi="Times Roman"/>
          <w:lang w:val="en-GB"/>
        </w:rPr>
        <w:t>Paragraph 217 of the Crown’s submissions suggests that Thomas is not suitable as an expert as he is opining on his own “Guidance Model”.</w:t>
      </w:r>
      <w:r>
        <w:rPr>
          <w:rFonts w:ascii="Times Roman" w:hAnsi="Times Roman"/>
          <w:lang w:val="en-GB"/>
        </w:rPr>
        <w:t xml:space="preserve"> </w:t>
      </w:r>
      <w:r w:rsidR="00743760" w:rsidRPr="002B4EAF">
        <w:rPr>
          <w:rFonts w:ascii="Times Roman" w:hAnsi="Times Roman"/>
          <w:lang w:val="en-GB"/>
        </w:rPr>
        <w:t xml:space="preserve">The defence agrees that Mr. Thomas developed the “Guidance Model” and that he opined on it in the course of his testimony.  </w:t>
      </w:r>
      <w:r>
        <w:rPr>
          <w:rFonts w:ascii="Times Roman" w:hAnsi="Times Roman"/>
          <w:lang w:val="en-GB"/>
        </w:rPr>
        <w:t>T</w:t>
      </w:r>
      <w:r w:rsidR="00743760" w:rsidRPr="002B4EAF">
        <w:rPr>
          <w:rFonts w:ascii="Times Roman" w:hAnsi="Times Roman"/>
          <w:lang w:val="en-GB"/>
        </w:rPr>
        <w:t xml:space="preserve">his fact </w:t>
      </w:r>
      <w:r>
        <w:rPr>
          <w:rFonts w:ascii="Times Roman" w:hAnsi="Times Roman"/>
          <w:lang w:val="en-GB"/>
        </w:rPr>
        <w:t xml:space="preserve">only enhances his status as an expert witness, </w:t>
      </w:r>
      <w:r w:rsidR="00743760" w:rsidRPr="002B4EAF">
        <w:rPr>
          <w:rFonts w:ascii="Times Roman" w:hAnsi="Times Roman"/>
          <w:lang w:val="en-GB"/>
        </w:rPr>
        <w:t>mak</w:t>
      </w:r>
      <w:r>
        <w:rPr>
          <w:rFonts w:ascii="Times Roman" w:hAnsi="Times Roman"/>
          <w:lang w:val="en-GB"/>
        </w:rPr>
        <w:t>ing</w:t>
      </w:r>
      <w:r w:rsidR="00743760" w:rsidRPr="002B4EAF">
        <w:rPr>
          <w:rFonts w:ascii="Times Roman" w:hAnsi="Times Roman"/>
          <w:lang w:val="en-GB"/>
        </w:rPr>
        <w:t xml:space="preserve"> hi</w:t>
      </w:r>
      <w:r>
        <w:rPr>
          <w:rFonts w:ascii="Times Roman" w:hAnsi="Times Roman"/>
          <w:lang w:val="en-GB"/>
        </w:rPr>
        <w:t>s evidence</w:t>
      </w:r>
      <w:r w:rsidR="00743760" w:rsidRPr="002B4EAF">
        <w:rPr>
          <w:rFonts w:ascii="Times Roman" w:hAnsi="Times Roman"/>
          <w:lang w:val="en-GB"/>
        </w:rPr>
        <w:t xml:space="preserve"> all the more credible. This is </w:t>
      </w:r>
      <w:r>
        <w:rPr>
          <w:rFonts w:ascii="Times Roman" w:hAnsi="Times Roman"/>
          <w:lang w:val="en-GB"/>
        </w:rPr>
        <w:t>analogous</w:t>
      </w:r>
      <w:r w:rsidR="00743760" w:rsidRPr="002B4EAF">
        <w:rPr>
          <w:rFonts w:ascii="Times Roman" w:hAnsi="Times Roman"/>
          <w:lang w:val="en-GB"/>
        </w:rPr>
        <w:t xml:space="preserve"> </w:t>
      </w:r>
      <w:r>
        <w:rPr>
          <w:rFonts w:ascii="Times Roman" w:hAnsi="Times Roman"/>
          <w:lang w:val="en-GB"/>
        </w:rPr>
        <w:t>to</w:t>
      </w:r>
      <w:r w:rsidR="00743760" w:rsidRPr="002B4EAF">
        <w:rPr>
          <w:rFonts w:ascii="Times Roman" w:hAnsi="Times Roman"/>
          <w:lang w:val="en-GB"/>
        </w:rPr>
        <w:t xml:space="preserve"> a doctor testifying about a medical procedure that she herself developed. </w:t>
      </w:r>
      <w:r>
        <w:rPr>
          <w:rFonts w:ascii="Times Roman" w:hAnsi="Times Roman"/>
          <w:lang w:val="en-GB"/>
        </w:rPr>
        <w:t>It would be absurd</w:t>
      </w:r>
      <w:r w:rsidR="00743760" w:rsidRPr="002B4EAF">
        <w:rPr>
          <w:rFonts w:ascii="Times Roman" w:hAnsi="Times Roman"/>
          <w:lang w:val="en-GB"/>
        </w:rPr>
        <w:t xml:space="preserve"> to suggest that she was not an expert on the </w:t>
      </w:r>
      <w:r>
        <w:rPr>
          <w:rFonts w:ascii="Times Roman" w:hAnsi="Times Roman"/>
          <w:lang w:val="en-GB"/>
        </w:rPr>
        <w:t>procedure simply because she herself invented, designed and perfected something that had become standard practice within her specialized field</w:t>
      </w:r>
      <w:r w:rsidR="00743760" w:rsidRPr="002B4EAF">
        <w:rPr>
          <w:rFonts w:ascii="Times Roman" w:hAnsi="Times Roman"/>
          <w:lang w:val="en-GB"/>
        </w:rPr>
        <w:t xml:space="preserve">. </w:t>
      </w:r>
    </w:p>
    <w:p w14:paraId="6A4C21CF" w14:textId="776A785C" w:rsidR="001517AC" w:rsidRDefault="001517AC"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Similarly, </w:t>
      </w:r>
      <w:r w:rsidR="002B4EAF">
        <w:rPr>
          <w:rFonts w:ascii="Times Roman" w:hAnsi="Times Roman"/>
          <w:lang w:val="en-GB"/>
        </w:rPr>
        <w:t xml:space="preserve">at paragraph 220 </w:t>
      </w:r>
      <w:r>
        <w:rPr>
          <w:rFonts w:ascii="Times Roman" w:hAnsi="Times Roman"/>
          <w:lang w:val="en-GB"/>
        </w:rPr>
        <w:t>the Crown is critical of Mr. Thomas for not having a credential that he himself created and teaches. The inventor of a credential is unlikely to be accredited in something that he himself created</w:t>
      </w:r>
      <w:r w:rsidR="002B4EAF">
        <w:rPr>
          <w:rFonts w:ascii="Times Roman" w:hAnsi="Times Roman"/>
          <w:lang w:val="en-GB"/>
        </w:rPr>
        <w:t>, but it would be foolish to suggest one who teaches and certifies students in an internationally recognized credentialled program is not himself qualified to speak to those credentials.</w:t>
      </w:r>
    </w:p>
    <w:p w14:paraId="5632AA90" w14:textId="00458DB3" w:rsidR="001517AC" w:rsidRDefault="00743760"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defence also agrees that Mr. Thomas does not have any experience working within the Canadian Islamic banking context, but this </w:t>
      </w:r>
      <w:r w:rsidR="00955938">
        <w:rPr>
          <w:rFonts w:ascii="Times Roman" w:hAnsi="Times Roman"/>
          <w:lang w:val="en-GB"/>
        </w:rPr>
        <w:t xml:space="preserve">fact </w:t>
      </w:r>
      <w:r>
        <w:rPr>
          <w:rFonts w:ascii="Times Roman" w:hAnsi="Times Roman"/>
          <w:lang w:val="en-GB"/>
        </w:rPr>
        <w:t xml:space="preserve">has no bearing on his qualification as multiple witnesses </w:t>
      </w:r>
      <w:r w:rsidR="00955938">
        <w:rPr>
          <w:rFonts w:ascii="Times Roman" w:hAnsi="Times Roman"/>
          <w:lang w:val="en-GB"/>
        </w:rPr>
        <w:t>have testified</w:t>
      </w:r>
      <w:r>
        <w:rPr>
          <w:rFonts w:ascii="Times Roman" w:hAnsi="Times Roman"/>
          <w:lang w:val="en-GB"/>
        </w:rPr>
        <w:t xml:space="preserve"> (Mr. Thomas, Mr. Siddiqui and Mr. </w:t>
      </w:r>
      <w:r>
        <w:rPr>
          <w:rFonts w:ascii="Times Roman" w:hAnsi="Times Roman"/>
          <w:lang w:val="en-GB"/>
        </w:rPr>
        <w:lastRenderedPageBreak/>
        <w:t xml:space="preserve">Kalair) that there was </w:t>
      </w:r>
      <w:r w:rsidRPr="00955938">
        <w:rPr>
          <w:rFonts w:ascii="Times Roman" w:hAnsi="Times Roman"/>
          <w:b/>
          <w:lang w:val="en-GB"/>
        </w:rPr>
        <w:t>no</w:t>
      </w:r>
      <w:r>
        <w:rPr>
          <w:rFonts w:ascii="Times Roman" w:hAnsi="Times Roman"/>
          <w:lang w:val="en-GB"/>
        </w:rPr>
        <w:t xml:space="preserve"> Islamic Finance industry in Canada </w:t>
      </w:r>
      <w:r w:rsidR="001517AC">
        <w:rPr>
          <w:rFonts w:ascii="Times Roman" w:hAnsi="Times Roman"/>
          <w:lang w:val="en-GB"/>
        </w:rPr>
        <w:t xml:space="preserve">prior to the incorporation of UM. </w:t>
      </w:r>
      <w:r w:rsidR="002B4EAF">
        <w:rPr>
          <w:rFonts w:ascii="Times Roman" w:hAnsi="Times Roman"/>
          <w:lang w:val="en-GB"/>
        </w:rPr>
        <w:t>The very absence of a mature, comprehensible and pre-existing Canadian example of Islamic Finance is a factor the Court should consider when assessing whether Mr. Kalair acted upon an honest belief in his interpretation and understanding of his Sharia obligations throughout this case. Kalair was at all times operating in an untested poorly understood field with Canadian business partners who were entirely naïve to the expectations and conduct that were normative within this field.</w:t>
      </w:r>
    </w:p>
    <w:p w14:paraId="61F326BD" w14:textId="77777777" w:rsidR="00E4251C" w:rsidRPr="00E4251C" w:rsidRDefault="00E4251C" w:rsidP="00E4251C">
      <w:pPr>
        <w:pStyle w:val="ListParagraph"/>
        <w:shd w:val="clear" w:color="auto" w:fill="FFFFFF"/>
        <w:spacing w:after="120" w:line="360" w:lineRule="auto"/>
        <w:ind w:left="0"/>
        <w:contextualSpacing w:val="0"/>
        <w:jc w:val="both"/>
        <w:rPr>
          <w:rFonts w:ascii="Times Roman" w:hAnsi="Times Roman"/>
          <w:lang w:val="en-GB"/>
        </w:rPr>
      </w:pPr>
    </w:p>
    <w:p w14:paraId="1D307BA9" w14:textId="078D6399" w:rsidR="001517AC" w:rsidRPr="001517AC" w:rsidRDefault="001517AC" w:rsidP="001517AC">
      <w:pPr>
        <w:pStyle w:val="Heading3"/>
        <w:rPr>
          <w:color w:val="auto"/>
          <w:lang w:val="en-GB"/>
        </w:rPr>
      </w:pPr>
      <w:bookmarkStart w:id="10" w:name="_Toc411860387"/>
      <w:r w:rsidRPr="001517AC">
        <w:rPr>
          <w:color w:val="auto"/>
          <w:lang w:val="en-GB"/>
        </w:rPr>
        <w:t>Documents Reviewed</w:t>
      </w:r>
      <w:bookmarkEnd w:id="10"/>
      <w:r w:rsidRPr="001517AC">
        <w:rPr>
          <w:color w:val="auto"/>
          <w:lang w:val="en-GB"/>
        </w:rPr>
        <w:t xml:space="preserve"> </w:t>
      </w:r>
    </w:p>
    <w:p w14:paraId="453D6E36" w14:textId="1931483F" w:rsidR="0019026F" w:rsidRDefault="00942038"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At paragraph 223 of the Crown’s submissions, it is suggested that Mr. Thomas demonstrated improper conduct </w:t>
      </w:r>
      <w:r w:rsidR="00DA45F1">
        <w:rPr>
          <w:rFonts w:ascii="Times Roman" w:hAnsi="Times Roman"/>
          <w:lang w:val="en-GB"/>
        </w:rPr>
        <w:t xml:space="preserve">by an expert in his review and reliance on certain documents and his decision to ignore other materials. </w:t>
      </w:r>
      <w:r w:rsidR="00955938">
        <w:rPr>
          <w:rFonts w:ascii="Times Roman" w:hAnsi="Times Roman"/>
          <w:lang w:val="en-GB"/>
        </w:rPr>
        <w:t>There is</w:t>
      </w:r>
      <w:r w:rsidR="001517AC">
        <w:rPr>
          <w:rFonts w:ascii="Times Roman" w:hAnsi="Times Roman"/>
          <w:lang w:val="en-GB"/>
        </w:rPr>
        <w:t xml:space="preserve"> no contradiction between what documents Mr. Thomas enumerated in his report and the documents he received. </w:t>
      </w:r>
      <w:r w:rsidR="00CE74A9">
        <w:rPr>
          <w:rFonts w:ascii="Times Roman" w:hAnsi="Times Roman"/>
          <w:lang w:val="en-GB"/>
        </w:rPr>
        <w:t xml:space="preserve">Mr. Thomas reviewed the relevant documents </w:t>
      </w:r>
      <w:r w:rsidR="00DA45F1">
        <w:rPr>
          <w:rFonts w:ascii="Times Roman" w:hAnsi="Times Roman"/>
          <w:lang w:val="en-GB"/>
        </w:rPr>
        <w:t xml:space="preserve">provided by counsel and testified that he expressly declined </w:t>
      </w:r>
      <w:r w:rsidR="00955938">
        <w:rPr>
          <w:rFonts w:ascii="Times Roman" w:hAnsi="Times Roman"/>
          <w:lang w:val="en-GB"/>
        </w:rPr>
        <w:t xml:space="preserve">to review </w:t>
      </w:r>
      <w:r w:rsidR="00DA45F1">
        <w:rPr>
          <w:rFonts w:ascii="Times Roman" w:hAnsi="Times Roman"/>
          <w:lang w:val="en-GB"/>
        </w:rPr>
        <w:t>potentially</w:t>
      </w:r>
      <w:r w:rsidR="00CE74A9">
        <w:rPr>
          <w:rFonts w:ascii="Times Roman" w:hAnsi="Times Roman"/>
          <w:lang w:val="en-GB"/>
        </w:rPr>
        <w:t xml:space="preserve"> self-serving materials sent to him by Mr. Kalair or the untested examination of a witness (Joseph Adam) </w:t>
      </w:r>
      <w:r w:rsidR="00DA45F1">
        <w:rPr>
          <w:rFonts w:ascii="Times Roman" w:hAnsi="Times Roman"/>
          <w:lang w:val="en-GB"/>
        </w:rPr>
        <w:t>who</w:t>
      </w:r>
      <w:r w:rsidR="00CE74A9">
        <w:rPr>
          <w:rFonts w:ascii="Times Roman" w:hAnsi="Times Roman"/>
          <w:lang w:val="en-GB"/>
        </w:rPr>
        <w:t xml:space="preserve"> could not</w:t>
      </w:r>
      <w:r w:rsidR="00AA57B2">
        <w:rPr>
          <w:rFonts w:ascii="Times Roman" w:hAnsi="Times Roman"/>
          <w:lang w:val="en-GB"/>
        </w:rPr>
        <w:t>,</w:t>
      </w:r>
      <w:r w:rsidR="00CE74A9">
        <w:rPr>
          <w:rFonts w:ascii="Times Roman" w:hAnsi="Times Roman"/>
          <w:lang w:val="en-GB"/>
        </w:rPr>
        <w:t xml:space="preserve"> </w:t>
      </w:r>
      <w:r w:rsidR="00DA45F1">
        <w:rPr>
          <w:rFonts w:ascii="Times Roman" w:hAnsi="Times Roman"/>
          <w:lang w:val="en-GB"/>
        </w:rPr>
        <w:t>and would not</w:t>
      </w:r>
      <w:r w:rsidR="00AA57B2">
        <w:rPr>
          <w:rFonts w:ascii="Times Roman" w:hAnsi="Times Roman"/>
          <w:lang w:val="en-GB"/>
        </w:rPr>
        <w:t>,</w:t>
      </w:r>
      <w:r w:rsidR="00DA45F1">
        <w:rPr>
          <w:rFonts w:ascii="Times Roman" w:hAnsi="Times Roman"/>
          <w:lang w:val="en-GB"/>
        </w:rPr>
        <w:t xml:space="preserve"> </w:t>
      </w:r>
      <w:r w:rsidR="00CE74A9">
        <w:rPr>
          <w:rFonts w:ascii="Times Roman" w:hAnsi="Times Roman"/>
          <w:lang w:val="en-GB"/>
        </w:rPr>
        <w:t>be called at trial. He formed his opinion without being tainted by such evidence. This is demonstrative of the scrupulous commitment to neutrality and fairness expected of an expert witness, a commitment not shared by Crown experts such as Sergeant Scott</w:t>
      </w:r>
      <w:r w:rsidR="00DA45F1">
        <w:rPr>
          <w:rFonts w:ascii="Times Roman" w:hAnsi="Times Roman"/>
          <w:lang w:val="en-GB"/>
        </w:rPr>
        <w:t xml:space="preserve"> (which will be addressed in greater detail, </w:t>
      </w:r>
      <w:r w:rsidR="00DA45F1">
        <w:rPr>
          <w:rFonts w:ascii="Times Roman" w:hAnsi="Times Roman"/>
          <w:i/>
          <w:iCs/>
          <w:lang w:val="en-GB"/>
        </w:rPr>
        <w:t>infra</w:t>
      </w:r>
      <w:r w:rsidR="00DA45F1">
        <w:rPr>
          <w:rFonts w:ascii="Times Roman" w:hAnsi="Times Roman"/>
          <w:lang w:val="en-GB"/>
        </w:rPr>
        <w:t>)</w:t>
      </w:r>
      <w:r w:rsidR="00CE74A9">
        <w:rPr>
          <w:rFonts w:ascii="Times Roman" w:hAnsi="Times Roman"/>
          <w:lang w:val="en-GB"/>
        </w:rPr>
        <w:t xml:space="preserve">. </w:t>
      </w:r>
    </w:p>
    <w:p w14:paraId="36E4BCD9" w14:textId="38E01213" w:rsidR="00DA45F1" w:rsidRDefault="00DA45F1"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As a neutral expert, Thomas was willing and available to review any additional materials the Crown felt relevant and answer questions. The Crown chose to provide none yet now raises objections without having availed itself of the opportunity to utilize the expert in whatever manner they saw fit.</w:t>
      </w:r>
    </w:p>
    <w:p w14:paraId="1F5385B4" w14:textId="77777777" w:rsidR="00FA064C" w:rsidRPr="00FA064C" w:rsidRDefault="00FA064C" w:rsidP="00FA064C">
      <w:pPr>
        <w:pStyle w:val="ListParagraph"/>
        <w:shd w:val="clear" w:color="auto" w:fill="FFFFFF"/>
        <w:spacing w:after="120" w:line="360" w:lineRule="auto"/>
        <w:ind w:left="0"/>
        <w:contextualSpacing w:val="0"/>
        <w:jc w:val="both"/>
        <w:rPr>
          <w:rFonts w:ascii="Times Roman" w:hAnsi="Times Roman"/>
          <w:lang w:val="en-GB"/>
        </w:rPr>
      </w:pPr>
    </w:p>
    <w:p w14:paraId="20E48DB9" w14:textId="77D1822C" w:rsidR="0019026F" w:rsidRPr="005604EC" w:rsidRDefault="0019026F" w:rsidP="00C87CF5">
      <w:pPr>
        <w:pStyle w:val="Heading2"/>
        <w:numPr>
          <w:ilvl w:val="0"/>
          <w:numId w:val="2"/>
        </w:numPr>
        <w:rPr>
          <w:rFonts w:ascii="Times Roman" w:hAnsi="Times Roman"/>
        </w:rPr>
      </w:pPr>
      <w:bookmarkStart w:id="11" w:name="_Toc411860388"/>
      <w:r w:rsidRPr="007E0AF9">
        <w:rPr>
          <w:rFonts w:ascii="Times Roman" w:hAnsi="Times Roman"/>
        </w:rPr>
        <w:t>Testimony of Shazhad Siddiqui</w:t>
      </w:r>
      <w:bookmarkEnd w:id="11"/>
    </w:p>
    <w:p w14:paraId="0CCCA4E7" w14:textId="6F27BCF6" w:rsidR="00602641" w:rsidRPr="0019026F" w:rsidRDefault="001E0DB2"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19026F">
        <w:rPr>
          <w:rFonts w:ascii="Times New Roman" w:hAnsi="Times New Roman" w:cs="Times New Roman"/>
        </w:rPr>
        <w:t xml:space="preserve">The Crown objected to </w:t>
      </w:r>
      <w:r w:rsidR="0019026F">
        <w:rPr>
          <w:rFonts w:ascii="Times New Roman" w:hAnsi="Times New Roman" w:cs="Times New Roman"/>
        </w:rPr>
        <w:t>Mr. Siddiqui’s</w:t>
      </w:r>
      <w:r w:rsidRPr="0019026F">
        <w:rPr>
          <w:rFonts w:ascii="Times New Roman" w:hAnsi="Times New Roman" w:cs="Times New Roman"/>
        </w:rPr>
        <w:t xml:space="preserve"> qualifications to provide his opinion </w:t>
      </w:r>
      <w:r w:rsidR="002F40AB">
        <w:rPr>
          <w:rFonts w:ascii="Times New Roman" w:hAnsi="Times New Roman" w:cs="Times New Roman"/>
        </w:rPr>
        <w:t xml:space="preserve">with respect to payment of SEBs. </w:t>
      </w:r>
      <w:r w:rsidR="0019026F">
        <w:rPr>
          <w:rFonts w:ascii="Times New Roman" w:hAnsi="Times New Roman" w:cs="Times New Roman"/>
        </w:rPr>
        <w:t xml:space="preserve">However, the evidence offered by Mr. Siddiqui in this area was not intended to be an expert opinion but rather a direct observation made by someone </w:t>
      </w:r>
      <w:r w:rsidR="0019026F">
        <w:rPr>
          <w:rFonts w:ascii="Times New Roman" w:hAnsi="Times New Roman" w:cs="Times New Roman"/>
        </w:rPr>
        <w:lastRenderedPageBreak/>
        <w:t>who has worked in and studied Islamic Finance</w:t>
      </w:r>
      <w:r w:rsidR="00DA45F1">
        <w:rPr>
          <w:rFonts w:ascii="Times New Roman" w:hAnsi="Times New Roman" w:cs="Times New Roman"/>
        </w:rPr>
        <w:t>. Siddiqui’s testimony as to his understanding of SEB remuneration is akin to</w:t>
      </w:r>
      <w:r w:rsidR="0019026F">
        <w:rPr>
          <w:rFonts w:ascii="Times New Roman" w:hAnsi="Times New Roman" w:cs="Times New Roman"/>
        </w:rPr>
        <w:t xml:space="preserve"> a hospital administrator’s evidence about the approximate salary of a doctor. </w:t>
      </w:r>
      <w:r w:rsidR="00DA45F1">
        <w:rPr>
          <w:rFonts w:ascii="Times New Roman" w:hAnsi="Times New Roman" w:cs="Times New Roman"/>
        </w:rPr>
        <w:t>It is not “expert” nor “opinion” but rather a relevant statement of fact based upon the witnesses’ observations.</w:t>
      </w:r>
    </w:p>
    <w:p w14:paraId="102A0779" w14:textId="1BDF804F" w:rsidR="00FA064C" w:rsidRPr="00E4251C" w:rsidRDefault="00DA45F1"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New Roman" w:hAnsi="Times New Roman" w:cs="Times New Roman"/>
        </w:rPr>
        <w:t>T</w:t>
      </w:r>
      <w:r w:rsidR="0019026F">
        <w:rPr>
          <w:rFonts w:ascii="Times New Roman" w:hAnsi="Times New Roman" w:cs="Times New Roman"/>
        </w:rPr>
        <w:t xml:space="preserve">his evidence is </w:t>
      </w:r>
      <w:r>
        <w:rPr>
          <w:rFonts w:ascii="Times New Roman" w:hAnsi="Times New Roman" w:cs="Times New Roman"/>
        </w:rPr>
        <w:t xml:space="preserve">substantially </w:t>
      </w:r>
      <w:r w:rsidR="0019026F">
        <w:rPr>
          <w:rFonts w:ascii="Times New Roman" w:hAnsi="Times New Roman" w:cs="Times New Roman"/>
        </w:rPr>
        <w:t>bolstered by that of Mr. Thomas, an expert in Islamic Finance</w:t>
      </w:r>
      <w:r>
        <w:rPr>
          <w:rFonts w:ascii="Times New Roman" w:hAnsi="Times New Roman" w:cs="Times New Roman"/>
        </w:rPr>
        <w:t>, which should alleviate any concerns the Court might have in relying solely on Siddiqui’s non-expert evidence on this point.</w:t>
      </w:r>
    </w:p>
    <w:p w14:paraId="485C99C1" w14:textId="77777777" w:rsidR="00D627B5" w:rsidRPr="00D627B5" w:rsidRDefault="00D627B5" w:rsidP="00D627B5">
      <w:pPr>
        <w:pStyle w:val="Heading2"/>
        <w:rPr>
          <w:rFonts w:ascii="Times Roman" w:eastAsiaTheme="minorEastAsia" w:hAnsi="Times Roman" w:cstheme="minorBidi"/>
          <w:b w:val="0"/>
          <w:bCs w:val="0"/>
          <w:i w:val="0"/>
          <w:sz w:val="24"/>
          <w:szCs w:val="24"/>
          <w:lang w:val="en-GB"/>
        </w:rPr>
      </w:pPr>
    </w:p>
    <w:p w14:paraId="544E38BB" w14:textId="1AC93B74" w:rsidR="00D627B5" w:rsidRPr="00D627B5" w:rsidRDefault="00D627B5" w:rsidP="00C87CF5">
      <w:pPr>
        <w:pStyle w:val="Heading2"/>
        <w:numPr>
          <w:ilvl w:val="0"/>
          <w:numId w:val="2"/>
        </w:numPr>
        <w:rPr>
          <w:rFonts w:ascii="Times Roman" w:hAnsi="Times Roman"/>
          <w:lang w:val="en-GB"/>
        </w:rPr>
      </w:pPr>
      <w:bookmarkStart w:id="12" w:name="_Toc411860389"/>
      <w:r w:rsidRPr="00D627B5">
        <w:rPr>
          <w:rFonts w:ascii="Times Roman" w:hAnsi="Times Roman"/>
          <w:lang w:val="en-GB"/>
        </w:rPr>
        <w:t>T</w:t>
      </w:r>
      <w:r w:rsidR="00E4251C" w:rsidRPr="00D627B5">
        <w:rPr>
          <w:rFonts w:ascii="Times Roman" w:hAnsi="Times Roman"/>
          <w:lang w:val="en-GB"/>
        </w:rPr>
        <w:t>es</w:t>
      </w:r>
      <w:r w:rsidR="002727D8" w:rsidRPr="00D627B5">
        <w:rPr>
          <w:rFonts w:ascii="Times Roman" w:hAnsi="Times Roman"/>
          <w:lang w:val="en-GB"/>
        </w:rPr>
        <w:t>t</w:t>
      </w:r>
      <w:r w:rsidR="00E4251C" w:rsidRPr="00D627B5">
        <w:rPr>
          <w:rFonts w:ascii="Times Roman" w:hAnsi="Times Roman"/>
          <w:lang w:val="en-GB"/>
        </w:rPr>
        <w:t>imony of Sergeant Scott</w:t>
      </w:r>
      <w:bookmarkEnd w:id="12"/>
      <w:r w:rsidR="00E4251C" w:rsidRPr="00D627B5">
        <w:rPr>
          <w:rFonts w:ascii="Times Roman" w:hAnsi="Times Roman"/>
          <w:lang w:val="en-GB"/>
        </w:rPr>
        <w:t xml:space="preserve"> </w:t>
      </w:r>
    </w:p>
    <w:p w14:paraId="3DCD8FD4" w14:textId="77777777" w:rsidR="00D627B5" w:rsidRPr="00D627B5" w:rsidRDefault="00D627B5" w:rsidP="00D627B5"/>
    <w:p w14:paraId="40759419" w14:textId="141F5272" w:rsidR="00E4251C" w:rsidRDefault="00E4251C"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The defence concedes that Sergeant</w:t>
      </w:r>
      <w:r w:rsidR="00330E08">
        <w:rPr>
          <w:rFonts w:ascii="Times Roman" w:hAnsi="Times Roman"/>
          <w:lang w:val="en-GB"/>
        </w:rPr>
        <w:t xml:space="preserve"> Scott was qualified </w:t>
      </w:r>
      <w:r w:rsidR="00DA45F1">
        <w:rPr>
          <w:rFonts w:ascii="Times Roman" w:hAnsi="Times Roman"/>
          <w:lang w:val="en-GB"/>
        </w:rPr>
        <w:t xml:space="preserve">as an expert at a pre-trial motion </w:t>
      </w:r>
      <w:r w:rsidR="00330E08">
        <w:rPr>
          <w:rFonts w:ascii="Times Roman" w:hAnsi="Times Roman"/>
          <w:lang w:val="en-GB"/>
        </w:rPr>
        <w:t xml:space="preserve">by </w:t>
      </w:r>
      <w:r w:rsidR="00DA45F1">
        <w:rPr>
          <w:rFonts w:ascii="Times Roman" w:hAnsi="Times Roman"/>
          <w:lang w:val="en-GB"/>
        </w:rPr>
        <w:t xml:space="preserve">the Honourable Mr. </w:t>
      </w:r>
      <w:r w:rsidR="00330E08">
        <w:rPr>
          <w:rFonts w:ascii="Times Roman" w:hAnsi="Times Roman"/>
          <w:lang w:val="en-GB"/>
        </w:rPr>
        <w:t>Justice Dambrot</w:t>
      </w:r>
      <w:r w:rsidR="00DA45F1">
        <w:rPr>
          <w:rFonts w:ascii="Times Roman" w:hAnsi="Times Roman"/>
          <w:lang w:val="en-GB"/>
        </w:rPr>
        <w:t>.</w:t>
      </w:r>
      <w:r w:rsidR="00330E08">
        <w:rPr>
          <w:rFonts w:ascii="Times Roman" w:hAnsi="Times Roman"/>
          <w:lang w:val="en-GB"/>
        </w:rPr>
        <w:t xml:space="preserve"> </w:t>
      </w:r>
      <w:r w:rsidR="00DA45F1">
        <w:rPr>
          <w:rFonts w:ascii="Times Roman" w:hAnsi="Times Roman"/>
          <w:lang w:val="en-GB"/>
        </w:rPr>
        <w:t xml:space="preserve">However, having now heard his </w:t>
      </w:r>
      <w:r w:rsidR="00AA57B2">
        <w:rPr>
          <w:rFonts w:ascii="Times Roman" w:hAnsi="Times Roman"/>
          <w:lang w:val="en-GB"/>
        </w:rPr>
        <w:t>testimony</w:t>
      </w:r>
      <w:r w:rsidR="00DA45F1">
        <w:rPr>
          <w:rFonts w:ascii="Times Roman" w:hAnsi="Times Roman"/>
          <w:lang w:val="en-GB"/>
        </w:rPr>
        <w:t xml:space="preserve">, the defence </w:t>
      </w:r>
      <w:r w:rsidR="00330E08">
        <w:rPr>
          <w:rFonts w:ascii="Times Roman" w:hAnsi="Times Roman"/>
          <w:lang w:val="en-GB"/>
        </w:rPr>
        <w:t>respectfully caution</w:t>
      </w:r>
      <w:r w:rsidR="00DA45F1">
        <w:rPr>
          <w:rFonts w:ascii="Times Roman" w:hAnsi="Times Roman"/>
          <w:lang w:val="en-GB"/>
        </w:rPr>
        <w:t>s</w:t>
      </w:r>
      <w:r w:rsidR="00330E08">
        <w:rPr>
          <w:rFonts w:ascii="Times Roman" w:hAnsi="Times Roman"/>
          <w:lang w:val="en-GB"/>
        </w:rPr>
        <w:t xml:space="preserve"> the Court on the very limited weight to be given to his evidence. </w:t>
      </w:r>
      <w:r w:rsidR="00BA7389">
        <w:rPr>
          <w:rFonts w:ascii="Times Roman" w:hAnsi="Times Roman"/>
          <w:lang w:val="en-GB"/>
        </w:rPr>
        <w:t>The Cour</w:t>
      </w:r>
      <w:r w:rsidR="002727D8">
        <w:rPr>
          <w:rFonts w:ascii="Times Roman" w:hAnsi="Times Roman"/>
          <w:lang w:val="en-GB"/>
        </w:rPr>
        <w:t>t should be particularly wary of his independence</w:t>
      </w:r>
      <w:r w:rsidR="00DA45F1">
        <w:rPr>
          <w:rFonts w:ascii="Times Roman" w:hAnsi="Times Roman"/>
          <w:lang w:val="en-GB"/>
        </w:rPr>
        <w:t xml:space="preserve">, </w:t>
      </w:r>
      <w:r w:rsidR="00BA7389">
        <w:rPr>
          <w:rFonts w:ascii="Times Roman" w:hAnsi="Times Roman"/>
          <w:lang w:val="en-GB"/>
        </w:rPr>
        <w:t>qualificat</w:t>
      </w:r>
      <w:r w:rsidR="002727D8">
        <w:rPr>
          <w:rFonts w:ascii="Times Roman" w:hAnsi="Times Roman"/>
          <w:lang w:val="en-GB"/>
        </w:rPr>
        <w:t>ions and the necessity of his evidence</w:t>
      </w:r>
      <w:r w:rsidR="00DA45F1">
        <w:rPr>
          <w:rFonts w:ascii="Times Roman" w:hAnsi="Times Roman"/>
          <w:lang w:val="en-GB"/>
        </w:rPr>
        <w:t>, which dramatically limits its probative value.</w:t>
      </w:r>
    </w:p>
    <w:p w14:paraId="7C962B6F" w14:textId="011FB587" w:rsidR="00330E08" w:rsidRDefault="00BA7389"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Sergeant Scott’s independence was undermined when </w:t>
      </w:r>
      <w:r w:rsidR="00DA45F1">
        <w:rPr>
          <w:rFonts w:ascii="Times Roman" w:hAnsi="Times Roman"/>
          <w:lang w:val="en-GB"/>
        </w:rPr>
        <w:t xml:space="preserve">it was discovered that </w:t>
      </w:r>
      <w:r>
        <w:rPr>
          <w:rFonts w:ascii="Times Roman" w:hAnsi="Times Roman"/>
          <w:lang w:val="en-GB"/>
        </w:rPr>
        <w:t xml:space="preserve">he </w:t>
      </w:r>
      <w:r w:rsidR="00DA45F1">
        <w:rPr>
          <w:rFonts w:ascii="Times Roman" w:hAnsi="Times Roman"/>
          <w:lang w:val="en-GB"/>
        </w:rPr>
        <w:t>was</w:t>
      </w:r>
      <w:r w:rsidR="00330E08">
        <w:rPr>
          <w:rFonts w:ascii="Times Roman" w:hAnsi="Times Roman"/>
          <w:lang w:val="en-GB"/>
        </w:rPr>
        <w:t xml:space="preserve"> </w:t>
      </w:r>
      <w:r w:rsidR="00DA45F1">
        <w:rPr>
          <w:rFonts w:ascii="Times Roman" w:hAnsi="Times Roman"/>
          <w:lang w:val="en-GB"/>
        </w:rPr>
        <w:t>employed by</w:t>
      </w:r>
      <w:r w:rsidR="00330E08">
        <w:rPr>
          <w:rFonts w:ascii="Times Roman" w:hAnsi="Times Roman"/>
          <w:lang w:val="en-GB"/>
        </w:rPr>
        <w:t xml:space="preserve"> the Alberta Central 1 Credit Union</w:t>
      </w:r>
      <w:r>
        <w:rPr>
          <w:rFonts w:ascii="Times Roman" w:hAnsi="Times Roman"/>
          <w:lang w:val="en-GB"/>
        </w:rPr>
        <w:t>, a member of the larger Central 1 Credit Union Company.</w:t>
      </w:r>
      <w:r w:rsidR="00330E08">
        <w:rPr>
          <w:rStyle w:val="FootnoteReference"/>
          <w:rFonts w:ascii="Times Roman" w:hAnsi="Times Roman"/>
          <w:lang w:val="en-GB"/>
        </w:rPr>
        <w:footnoteReference w:id="27"/>
      </w:r>
      <w:r>
        <w:rPr>
          <w:rFonts w:ascii="Times Roman" w:hAnsi="Times Roman"/>
          <w:lang w:val="en-GB"/>
        </w:rPr>
        <w:t xml:space="preserve"> </w:t>
      </w:r>
      <w:r w:rsidR="002727D8">
        <w:rPr>
          <w:rFonts w:ascii="Times Roman" w:hAnsi="Times Roman"/>
          <w:lang w:val="en-GB"/>
        </w:rPr>
        <w:t>He</w:t>
      </w:r>
      <w:r>
        <w:rPr>
          <w:rFonts w:ascii="Times Roman" w:hAnsi="Times Roman"/>
          <w:lang w:val="en-GB"/>
        </w:rPr>
        <w:t xml:space="preserve"> is contracted and paid by the</w:t>
      </w:r>
      <w:r w:rsidR="00AA57B2">
        <w:rPr>
          <w:rFonts w:ascii="Times Roman" w:hAnsi="Times Roman"/>
          <w:lang w:val="en-GB"/>
        </w:rPr>
        <w:t xml:space="preserve"> key</w:t>
      </w:r>
      <w:r>
        <w:rPr>
          <w:rFonts w:ascii="Times Roman" w:hAnsi="Times Roman"/>
          <w:lang w:val="en-GB"/>
        </w:rPr>
        <w:t xml:space="preserve"> complainant in this case</w:t>
      </w:r>
      <w:r w:rsidR="00AA57B2">
        <w:rPr>
          <w:rFonts w:ascii="Times Roman" w:hAnsi="Times Roman"/>
          <w:lang w:val="en-GB"/>
        </w:rPr>
        <w:t>;</w:t>
      </w:r>
      <w:r>
        <w:rPr>
          <w:rFonts w:ascii="Times Roman" w:hAnsi="Times Roman"/>
          <w:lang w:val="en-GB"/>
        </w:rPr>
        <w:t xml:space="preserve"> a very </w:t>
      </w:r>
      <w:r w:rsidR="00955938">
        <w:rPr>
          <w:rFonts w:ascii="Times Roman" w:hAnsi="Times Roman"/>
          <w:lang w:val="en-GB"/>
        </w:rPr>
        <w:t>curious</w:t>
      </w:r>
      <w:r>
        <w:rPr>
          <w:rFonts w:ascii="Times Roman" w:hAnsi="Times Roman"/>
          <w:lang w:val="en-GB"/>
        </w:rPr>
        <w:t xml:space="preserve"> coincidence. </w:t>
      </w:r>
      <w:r w:rsidR="00DA45F1">
        <w:rPr>
          <w:rFonts w:ascii="Times Roman" w:hAnsi="Times Roman"/>
          <w:lang w:val="en-GB"/>
        </w:rPr>
        <w:t>This Court should consider the nature and vociferousness of the potential objection raised by the Crown had Mr. Thomas tu</w:t>
      </w:r>
      <w:r w:rsidR="00AA57B2">
        <w:rPr>
          <w:rFonts w:ascii="Times Roman" w:hAnsi="Times Roman"/>
          <w:lang w:val="en-GB"/>
        </w:rPr>
        <w:t>r</w:t>
      </w:r>
      <w:r w:rsidR="00DA45F1">
        <w:rPr>
          <w:rFonts w:ascii="Times Roman" w:hAnsi="Times Roman"/>
          <w:lang w:val="en-GB"/>
        </w:rPr>
        <w:t>ned out to be a paid consultant to a UM-related company</w:t>
      </w:r>
      <w:r w:rsidR="00263258">
        <w:rPr>
          <w:rFonts w:ascii="Times Roman" w:hAnsi="Times Roman"/>
          <w:lang w:val="en-GB"/>
        </w:rPr>
        <w:t xml:space="preserve">. Extreme caution should be exercised in assessing the weight of this </w:t>
      </w:r>
      <w:r w:rsidR="00AA57B2">
        <w:rPr>
          <w:rFonts w:ascii="Times Roman" w:hAnsi="Times Roman"/>
          <w:lang w:val="en-GB"/>
        </w:rPr>
        <w:t>evidence</w:t>
      </w:r>
      <w:r w:rsidR="00263258">
        <w:rPr>
          <w:rFonts w:ascii="Times Roman" w:hAnsi="Times Roman"/>
          <w:lang w:val="en-GB"/>
        </w:rPr>
        <w:t>.</w:t>
      </w:r>
    </w:p>
    <w:p w14:paraId="3028F52D" w14:textId="2000FD5E" w:rsidR="002727D8" w:rsidRDefault="002727D8"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Moreover, Sergeant Scott was </w:t>
      </w:r>
      <w:r w:rsidR="003B7061">
        <w:rPr>
          <w:rFonts w:ascii="Times Roman" w:hAnsi="Times Roman"/>
          <w:lang w:val="en-GB"/>
        </w:rPr>
        <w:t xml:space="preserve">qualified as an expert in money laundering, </w:t>
      </w:r>
      <w:r>
        <w:rPr>
          <w:rFonts w:ascii="Times Roman" w:hAnsi="Times Roman"/>
          <w:lang w:val="en-GB"/>
        </w:rPr>
        <w:t xml:space="preserve">specifically laundering in precious metals. Although he has ample experience in the area of money laundering in </w:t>
      </w:r>
      <w:r w:rsidR="00263258">
        <w:rPr>
          <w:rFonts w:ascii="Times Roman" w:hAnsi="Times Roman"/>
          <w:lang w:val="en-GB"/>
        </w:rPr>
        <w:t xml:space="preserve">cash </w:t>
      </w:r>
      <w:r>
        <w:rPr>
          <w:rFonts w:ascii="Times Roman" w:hAnsi="Times Roman"/>
          <w:lang w:val="en-GB"/>
        </w:rPr>
        <w:t xml:space="preserve">currency, he admits to having very little expertise in the area </w:t>
      </w:r>
      <w:r>
        <w:rPr>
          <w:rFonts w:ascii="Times Roman" w:hAnsi="Times Roman"/>
          <w:lang w:val="en-GB"/>
        </w:rPr>
        <w:lastRenderedPageBreak/>
        <w:t>of precious metals.</w:t>
      </w:r>
      <w:r>
        <w:rPr>
          <w:rStyle w:val="FootnoteReference"/>
          <w:rFonts w:ascii="Times Roman" w:hAnsi="Times Roman"/>
          <w:lang w:val="en-GB"/>
        </w:rPr>
        <w:footnoteReference w:id="28"/>
      </w:r>
      <w:r>
        <w:rPr>
          <w:rFonts w:ascii="Times Roman" w:hAnsi="Times Roman"/>
          <w:lang w:val="en-GB"/>
        </w:rPr>
        <w:t xml:space="preserve"> </w:t>
      </w:r>
      <w:r w:rsidR="003B7061">
        <w:rPr>
          <w:rFonts w:ascii="Times Roman" w:hAnsi="Times Roman"/>
          <w:lang w:val="en-GB"/>
        </w:rPr>
        <w:t>In fact, this case was the “first and only time” that he has testified as a precious metals money laundering expert.</w:t>
      </w:r>
      <w:r w:rsidR="003B7061">
        <w:rPr>
          <w:rStyle w:val="FootnoteReference"/>
          <w:rFonts w:ascii="Times Roman" w:hAnsi="Times Roman"/>
          <w:lang w:val="en-GB"/>
        </w:rPr>
        <w:footnoteReference w:id="29"/>
      </w:r>
      <w:r w:rsidR="003B7061">
        <w:rPr>
          <w:rFonts w:ascii="Times Roman" w:hAnsi="Times Roman"/>
          <w:lang w:val="en-GB"/>
        </w:rPr>
        <w:t xml:space="preserve"> </w:t>
      </w:r>
    </w:p>
    <w:p w14:paraId="7C6AA4F7" w14:textId="0E08C17F" w:rsidR="00D3218C" w:rsidRDefault="003E7DB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L</w:t>
      </w:r>
      <w:r w:rsidR="00D3218C">
        <w:rPr>
          <w:rFonts w:ascii="Times Roman" w:hAnsi="Times Roman"/>
          <w:lang w:val="en-GB"/>
        </w:rPr>
        <w:t>ike many other Crown witnesses, Sergeant Scott was naive to</w:t>
      </w:r>
      <w:r w:rsidR="00263258">
        <w:rPr>
          <w:rFonts w:ascii="Times Roman" w:hAnsi="Times Roman"/>
          <w:lang w:val="en-GB"/>
        </w:rPr>
        <w:t>,</w:t>
      </w:r>
      <w:r w:rsidR="00D3218C">
        <w:rPr>
          <w:rFonts w:ascii="Times Roman" w:hAnsi="Times Roman"/>
          <w:lang w:val="en-GB"/>
        </w:rPr>
        <w:t xml:space="preserve"> or ignorant of</w:t>
      </w:r>
      <w:r w:rsidR="00263258">
        <w:rPr>
          <w:rFonts w:ascii="Times Roman" w:hAnsi="Times Roman"/>
          <w:lang w:val="en-GB"/>
        </w:rPr>
        <w:t>,</w:t>
      </w:r>
      <w:r w:rsidR="00D3218C">
        <w:rPr>
          <w:rFonts w:ascii="Times Roman" w:hAnsi="Times Roman"/>
          <w:lang w:val="en-GB"/>
        </w:rPr>
        <w:t xml:space="preserve"> </w:t>
      </w:r>
      <w:r w:rsidR="00955938">
        <w:rPr>
          <w:rFonts w:ascii="Times Roman" w:hAnsi="Times Roman"/>
          <w:lang w:val="en-GB"/>
        </w:rPr>
        <w:t xml:space="preserve">the significance of </w:t>
      </w:r>
      <w:r w:rsidR="00D3218C">
        <w:rPr>
          <w:rFonts w:ascii="Times Roman" w:hAnsi="Times Roman"/>
          <w:lang w:val="en-GB"/>
        </w:rPr>
        <w:t>Islamic Finance and Sharia Law</w:t>
      </w:r>
      <w:r w:rsidR="00955938">
        <w:rPr>
          <w:rFonts w:ascii="Times Roman" w:hAnsi="Times Roman"/>
          <w:lang w:val="en-GB"/>
        </w:rPr>
        <w:t xml:space="preserve"> in this case</w:t>
      </w:r>
      <w:r w:rsidR="00D3218C">
        <w:rPr>
          <w:rFonts w:ascii="Times Roman" w:hAnsi="Times Roman"/>
          <w:lang w:val="en-GB"/>
        </w:rPr>
        <w:t>.</w:t>
      </w:r>
      <w:r w:rsidR="00955938">
        <w:rPr>
          <w:rFonts w:ascii="Times Roman" w:hAnsi="Times Roman"/>
          <w:lang w:val="en-GB"/>
        </w:rPr>
        <w:t xml:space="preserve"> Although he was aware that the</w:t>
      </w:r>
      <w:r w:rsidR="00D3218C">
        <w:rPr>
          <w:rFonts w:ascii="Times Roman" w:hAnsi="Times Roman"/>
          <w:lang w:val="en-GB"/>
        </w:rPr>
        <w:t xml:space="preserve"> case involves an Islamic Finance company and purported Sharia compliance, he conducted no research whatsoever into the cultural and religious significance of gold in those fields.</w:t>
      </w:r>
      <w:r w:rsidR="00D3218C">
        <w:rPr>
          <w:rStyle w:val="FootnoteReference"/>
          <w:rFonts w:ascii="Times Roman" w:hAnsi="Times Roman"/>
          <w:lang w:val="en-GB"/>
        </w:rPr>
        <w:footnoteReference w:id="30"/>
      </w:r>
      <w:r w:rsidR="008A5D12">
        <w:rPr>
          <w:rFonts w:ascii="Times Roman" w:hAnsi="Times Roman"/>
          <w:lang w:val="en-GB"/>
        </w:rPr>
        <w:t xml:space="preserve"> In fact, he went so far as to suggest that the same general principles of finance apply in any culture</w:t>
      </w:r>
      <w:r w:rsidR="008A5D12">
        <w:rPr>
          <w:rStyle w:val="FootnoteReference"/>
          <w:rFonts w:ascii="Times Roman" w:hAnsi="Times Roman"/>
          <w:lang w:val="en-GB"/>
        </w:rPr>
        <w:footnoteReference w:id="31"/>
      </w:r>
      <w:r w:rsidR="008A5D12">
        <w:rPr>
          <w:rFonts w:ascii="Times Roman" w:hAnsi="Times Roman"/>
          <w:lang w:val="en-GB"/>
        </w:rPr>
        <w:t>:</w:t>
      </w:r>
      <w:r w:rsidR="00D3218C">
        <w:rPr>
          <w:rFonts w:ascii="Times Roman" w:hAnsi="Times Roman"/>
          <w:lang w:val="en-GB"/>
        </w:rPr>
        <w:t xml:space="preserve"> </w:t>
      </w:r>
    </w:p>
    <w:p w14:paraId="176AEFDD" w14:textId="458EAA37" w:rsidR="008A5D12" w:rsidRDefault="008A5D12" w:rsidP="00955938">
      <w:pPr>
        <w:shd w:val="clear" w:color="auto" w:fill="FFFFFF"/>
        <w:spacing w:after="120" w:line="360" w:lineRule="auto"/>
        <w:ind w:left="1440"/>
        <w:jc w:val="both"/>
        <w:rPr>
          <w:rFonts w:ascii="Times Roman" w:hAnsi="Times Roman"/>
          <w:lang w:val="en-GB"/>
        </w:rPr>
      </w:pPr>
      <w:r>
        <w:rPr>
          <w:rFonts w:ascii="Times Roman" w:hAnsi="Times Roman"/>
          <w:lang w:val="en-GB"/>
        </w:rPr>
        <w:t>Q…</w:t>
      </w:r>
      <w:r w:rsidRPr="008A5D12">
        <w:rPr>
          <w:rFonts w:ascii="Times Roman" w:hAnsi="Times Roman"/>
          <w:lang w:val="en-GB"/>
        </w:rPr>
        <w:t>I'm going to suggest that when you prepared</w:t>
      </w:r>
      <w:r>
        <w:rPr>
          <w:rFonts w:ascii="Times Roman" w:hAnsi="Times Roman"/>
          <w:lang w:val="en-GB"/>
        </w:rPr>
        <w:t xml:space="preserve"> </w:t>
      </w:r>
      <w:r w:rsidRPr="008A5D12">
        <w:rPr>
          <w:rFonts w:ascii="Times Roman" w:hAnsi="Times Roman"/>
          <w:lang w:val="en-GB"/>
        </w:rPr>
        <w:t>your report and conducted your analysis, you weren't aware of</w:t>
      </w:r>
      <w:r>
        <w:rPr>
          <w:rFonts w:ascii="Times Roman" w:hAnsi="Times Roman"/>
          <w:lang w:val="en-GB"/>
        </w:rPr>
        <w:t xml:space="preserve"> </w:t>
      </w:r>
      <w:r w:rsidRPr="008A5D12">
        <w:rPr>
          <w:rFonts w:ascii="Times Roman" w:hAnsi="Times Roman"/>
          <w:lang w:val="en-GB"/>
        </w:rPr>
        <w:t xml:space="preserve">the particular significance of </w:t>
      </w:r>
      <w:r>
        <w:rPr>
          <w:rFonts w:ascii="Times Roman" w:hAnsi="Times Roman"/>
          <w:lang w:val="en-GB"/>
        </w:rPr>
        <w:t xml:space="preserve">the role of gold, physical gold </w:t>
      </w:r>
      <w:r w:rsidRPr="008A5D12">
        <w:rPr>
          <w:rFonts w:ascii="Times Roman" w:hAnsi="Times Roman"/>
          <w:lang w:val="en-GB"/>
        </w:rPr>
        <w:t>in Islamic finance?</w:t>
      </w:r>
    </w:p>
    <w:p w14:paraId="0C7E47F4" w14:textId="2B95078A" w:rsidR="008A5D12" w:rsidRPr="008A5D12" w:rsidRDefault="008A5D12" w:rsidP="008A5D12">
      <w:pPr>
        <w:shd w:val="clear" w:color="auto" w:fill="FFFFFF"/>
        <w:spacing w:after="120" w:line="360" w:lineRule="auto"/>
        <w:ind w:left="1440"/>
        <w:jc w:val="both"/>
        <w:rPr>
          <w:rFonts w:ascii="Times Roman" w:hAnsi="Times Roman"/>
          <w:lang w:val="en-GB"/>
        </w:rPr>
      </w:pPr>
      <w:r w:rsidRPr="008A5D12">
        <w:rPr>
          <w:rFonts w:ascii="Times Roman" w:hAnsi="Times Roman"/>
          <w:lang w:val="en-GB"/>
        </w:rPr>
        <w:t>A. I will – yeah, I'll concede that. I did not</w:t>
      </w:r>
      <w:r>
        <w:rPr>
          <w:rFonts w:ascii="Times Roman" w:hAnsi="Times Roman"/>
          <w:lang w:val="en-GB"/>
        </w:rPr>
        <w:t xml:space="preserve"> </w:t>
      </w:r>
      <w:r w:rsidRPr="008A5D12">
        <w:rPr>
          <w:rFonts w:ascii="Times Roman" w:hAnsi="Times Roman"/>
          <w:lang w:val="en-GB"/>
        </w:rPr>
        <w:t>specifically know Islamic finance, but general finance has the</w:t>
      </w:r>
      <w:r>
        <w:rPr>
          <w:rFonts w:ascii="Times Roman" w:hAnsi="Times Roman"/>
          <w:lang w:val="en-GB"/>
        </w:rPr>
        <w:t xml:space="preserve"> </w:t>
      </w:r>
      <w:r w:rsidRPr="008A5D12">
        <w:rPr>
          <w:rFonts w:ascii="Times Roman" w:hAnsi="Times Roman"/>
          <w:lang w:val="en-GB"/>
        </w:rPr>
        <w:t>same characteristics apply in terms of finances in, in any</w:t>
      </w:r>
      <w:r>
        <w:rPr>
          <w:rFonts w:ascii="Times Roman" w:hAnsi="Times Roman"/>
          <w:lang w:val="en-GB"/>
        </w:rPr>
        <w:t xml:space="preserve"> </w:t>
      </w:r>
      <w:r w:rsidRPr="008A5D12">
        <w:rPr>
          <w:rFonts w:ascii="Times Roman" w:hAnsi="Times Roman"/>
          <w:lang w:val="en-GB"/>
        </w:rPr>
        <w:t>culture. I mean, it has that intrinsic value it's, it's</w:t>
      </w:r>
      <w:r>
        <w:rPr>
          <w:rFonts w:ascii="Times Roman" w:hAnsi="Times Roman"/>
          <w:lang w:val="en-GB"/>
        </w:rPr>
        <w:t xml:space="preserve"> </w:t>
      </w:r>
      <w:r w:rsidRPr="008A5D12">
        <w:rPr>
          <w:rFonts w:ascii="Times Roman" w:hAnsi="Times Roman"/>
          <w:lang w:val="en-GB"/>
        </w:rPr>
        <w:t>transportable, it's, it's easily moved and so on. So, it can</w:t>
      </w:r>
      <w:r>
        <w:rPr>
          <w:rFonts w:ascii="Times Roman" w:hAnsi="Times Roman"/>
          <w:lang w:val="en-GB"/>
        </w:rPr>
        <w:t xml:space="preserve"> </w:t>
      </w:r>
      <w:r w:rsidRPr="008A5D12">
        <w:rPr>
          <w:rFonts w:ascii="Times Roman" w:hAnsi="Times Roman"/>
          <w:lang w:val="en-GB"/>
        </w:rPr>
        <w:t>apply to Islam as much as it can apply to Catholicism, anything</w:t>
      </w:r>
      <w:r>
        <w:rPr>
          <w:rFonts w:ascii="Times Roman" w:hAnsi="Times Roman"/>
          <w:lang w:val="en-GB"/>
        </w:rPr>
        <w:t xml:space="preserve"> </w:t>
      </w:r>
      <w:r w:rsidRPr="008A5D12">
        <w:rPr>
          <w:rFonts w:ascii="Times Roman" w:hAnsi="Times Roman"/>
          <w:lang w:val="en-GB"/>
        </w:rPr>
        <w:t>else.</w:t>
      </w:r>
    </w:p>
    <w:p w14:paraId="6D9F144C" w14:textId="6FD9A19A" w:rsidR="00D3218C" w:rsidRDefault="00D3218C"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witness was confronted with </w:t>
      </w:r>
      <w:r w:rsidR="0007078A">
        <w:rPr>
          <w:rFonts w:ascii="Times Roman" w:hAnsi="Times Roman"/>
          <w:lang w:val="en-GB"/>
        </w:rPr>
        <w:t>lettered exhibit J</w:t>
      </w:r>
      <w:r w:rsidR="00D62FC4">
        <w:rPr>
          <w:rFonts w:ascii="Times Roman" w:hAnsi="Times Roman"/>
          <w:lang w:val="en-GB"/>
        </w:rPr>
        <w:t xml:space="preserve">, </w:t>
      </w:r>
      <w:r w:rsidR="002459CF">
        <w:rPr>
          <w:rFonts w:ascii="Times Roman" w:hAnsi="Times Roman"/>
          <w:lang w:val="en-GB"/>
        </w:rPr>
        <w:t xml:space="preserve">which includes various </w:t>
      </w:r>
      <w:r>
        <w:rPr>
          <w:rFonts w:ascii="Times Roman" w:hAnsi="Times Roman"/>
          <w:lang w:val="en-GB"/>
        </w:rPr>
        <w:t>facts about gold</w:t>
      </w:r>
      <w:r w:rsidR="00AA57B2">
        <w:rPr>
          <w:rFonts w:ascii="Times Roman" w:hAnsi="Times Roman"/>
          <w:lang w:val="en-GB"/>
        </w:rPr>
        <w:t>’s role in Islamic Finance</w:t>
      </w:r>
      <w:r>
        <w:rPr>
          <w:rFonts w:ascii="Times Roman" w:hAnsi="Times Roman"/>
          <w:lang w:val="en-GB"/>
        </w:rPr>
        <w:t xml:space="preserve"> </w:t>
      </w:r>
      <w:r w:rsidR="00AC2213">
        <w:rPr>
          <w:rFonts w:ascii="Times Roman" w:hAnsi="Times Roman"/>
          <w:lang w:val="en-GB"/>
        </w:rPr>
        <w:t>including that:</w:t>
      </w:r>
    </w:p>
    <w:p w14:paraId="42D73237" w14:textId="0F11C91C" w:rsidR="00AC2213" w:rsidRDefault="00AC2213" w:rsidP="00C87CF5">
      <w:pPr>
        <w:pStyle w:val="ListParagraph"/>
        <w:numPr>
          <w:ilvl w:val="0"/>
          <w:numId w:val="4"/>
        </w:numPr>
        <w:shd w:val="clear" w:color="auto" w:fill="FFFFFF"/>
        <w:spacing w:after="120" w:line="360" w:lineRule="auto"/>
        <w:jc w:val="both"/>
        <w:rPr>
          <w:rFonts w:ascii="Times Roman" w:hAnsi="Times Roman"/>
          <w:lang w:val="en-GB"/>
        </w:rPr>
      </w:pPr>
      <w:r>
        <w:rPr>
          <w:rFonts w:ascii="Times Roman" w:hAnsi="Times Roman"/>
          <w:lang w:val="en-GB"/>
        </w:rPr>
        <w:t xml:space="preserve">Gold </w:t>
      </w:r>
      <w:r w:rsidR="00AE7C12">
        <w:rPr>
          <w:rFonts w:ascii="Times Roman" w:hAnsi="Times Roman"/>
          <w:lang w:val="en-GB"/>
        </w:rPr>
        <w:t>h</w:t>
      </w:r>
      <w:r>
        <w:rPr>
          <w:rFonts w:ascii="Times Roman" w:hAnsi="Times Roman"/>
          <w:lang w:val="en-GB"/>
        </w:rPr>
        <w:t>as a deep and historical connection with Islamic civilizations</w:t>
      </w:r>
      <w:r>
        <w:rPr>
          <w:rStyle w:val="FootnoteReference"/>
          <w:rFonts w:ascii="Times Roman" w:hAnsi="Times Roman"/>
          <w:lang w:val="en-GB"/>
        </w:rPr>
        <w:footnoteReference w:id="32"/>
      </w:r>
      <w:r>
        <w:rPr>
          <w:rFonts w:ascii="Times Roman" w:hAnsi="Times Roman"/>
          <w:lang w:val="en-GB"/>
        </w:rPr>
        <w:t>;</w:t>
      </w:r>
    </w:p>
    <w:p w14:paraId="2AB94B62" w14:textId="753DA584" w:rsidR="00AC2213" w:rsidRDefault="00AC2213" w:rsidP="00C87CF5">
      <w:pPr>
        <w:pStyle w:val="ListParagraph"/>
        <w:numPr>
          <w:ilvl w:val="0"/>
          <w:numId w:val="4"/>
        </w:numPr>
        <w:shd w:val="clear" w:color="auto" w:fill="FFFFFF"/>
        <w:spacing w:after="120" w:line="360" w:lineRule="auto"/>
        <w:jc w:val="both"/>
        <w:rPr>
          <w:rFonts w:ascii="Times Roman" w:hAnsi="Times Roman"/>
          <w:lang w:val="en-GB"/>
        </w:rPr>
      </w:pPr>
      <w:r>
        <w:rPr>
          <w:rFonts w:ascii="Times Roman" w:hAnsi="Times Roman"/>
          <w:lang w:val="en-GB"/>
        </w:rPr>
        <w:t xml:space="preserve">Gold is one of the six staples </w:t>
      </w:r>
      <w:r w:rsidR="00C308B3">
        <w:rPr>
          <w:rFonts w:ascii="Times Roman" w:hAnsi="Times Roman"/>
          <w:lang w:val="en-GB"/>
        </w:rPr>
        <w:t>mentioned in the hadith, which is a source for religious law and moral guidance</w:t>
      </w:r>
      <w:r>
        <w:rPr>
          <w:rStyle w:val="FootnoteReference"/>
          <w:rFonts w:ascii="Times Roman" w:hAnsi="Times Roman"/>
          <w:lang w:val="en-GB"/>
        </w:rPr>
        <w:footnoteReference w:id="33"/>
      </w:r>
      <w:r>
        <w:rPr>
          <w:rFonts w:ascii="Times Roman" w:hAnsi="Times Roman"/>
          <w:lang w:val="en-GB"/>
        </w:rPr>
        <w:t>;</w:t>
      </w:r>
    </w:p>
    <w:p w14:paraId="65B83A3D" w14:textId="1EEDC6FD" w:rsidR="00AC2213" w:rsidRDefault="00AC2213" w:rsidP="00C87CF5">
      <w:pPr>
        <w:pStyle w:val="ListParagraph"/>
        <w:numPr>
          <w:ilvl w:val="0"/>
          <w:numId w:val="4"/>
        </w:numPr>
        <w:shd w:val="clear" w:color="auto" w:fill="FFFFFF"/>
        <w:spacing w:after="120" w:line="360" w:lineRule="auto"/>
        <w:jc w:val="both"/>
        <w:rPr>
          <w:rFonts w:ascii="Times Roman" w:hAnsi="Times Roman"/>
          <w:lang w:val="en-GB"/>
        </w:rPr>
      </w:pPr>
      <w:r>
        <w:rPr>
          <w:rFonts w:ascii="Times Roman" w:hAnsi="Times Roman"/>
          <w:lang w:val="en-GB"/>
        </w:rPr>
        <w:lastRenderedPageBreak/>
        <w:t>Gold exhibits little or no correlation with most other asset clauses</w:t>
      </w:r>
      <w:r>
        <w:rPr>
          <w:rStyle w:val="FootnoteReference"/>
          <w:rFonts w:ascii="Times Roman" w:hAnsi="Times Roman"/>
          <w:lang w:val="en-GB"/>
        </w:rPr>
        <w:footnoteReference w:id="34"/>
      </w:r>
      <w:r>
        <w:rPr>
          <w:rFonts w:ascii="Times Roman" w:hAnsi="Times Roman"/>
          <w:lang w:val="en-GB"/>
        </w:rPr>
        <w:t>;</w:t>
      </w:r>
    </w:p>
    <w:p w14:paraId="22F78F0F" w14:textId="3F8BC7D1" w:rsidR="00AC2213" w:rsidRDefault="00AC2213" w:rsidP="00C87CF5">
      <w:pPr>
        <w:pStyle w:val="ListParagraph"/>
        <w:numPr>
          <w:ilvl w:val="0"/>
          <w:numId w:val="4"/>
        </w:numPr>
        <w:shd w:val="clear" w:color="auto" w:fill="FFFFFF"/>
        <w:spacing w:after="120" w:line="360" w:lineRule="auto"/>
        <w:jc w:val="both"/>
        <w:rPr>
          <w:rFonts w:ascii="Times Roman" w:hAnsi="Times Roman"/>
          <w:lang w:val="en-GB"/>
        </w:rPr>
      </w:pPr>
      <w:r>
        <w:rPr>
          <w:rFonts w:ascii="Times Roman" w:hAnsi="Times Roman"/>
          <w:lang w:val="en-GB"/>
        </w:rPr>
        <w:t>Gold i</w:t>
      </w:r>
      <w:r w:rsidR="00AA57B2">
        <w:rPr>
          <w:rFonts w:ascii="Times Roman" w:hAnsi="Times Roman"/>
          <w:lang w:val="en-GB"/>
        </w:rPr>
        <w:t>s</w:t>
      </w:r>
      <w:r>
        <w:rPr>
          <w:rFonts w:ascii="Times Roman" w:hAnsi="Times Roman"/>
          <w:lang w:val="en-GB"/>
        </w:rPr>
        <w:t xml:space="preserve"> the ultimate safe haven asset during times of market stress or political stress</w:t>
      </w:r>
      <w:r>
        <w:rPr>
          <w:rStyle w:val="FootnoteReference"/>
          <w:rFonts w:ascii="Times Roman" w:hAnsi="Times Roman"/>
          <w:lang w:val="en-GB"/>
        </w:rPr>
        <w:footnoteReference w:id="35"/>
      </w:r>
      <w:r>
        <w:rPr>
          <w:rFonts w:ascii="Times Roman" w:hAnsi="Times Roman"/>
          <w:lang w:val="en-GB"/>
        </w:rPr>
        <w:t>;</w:t>
      </w:r>
      <w:r w:rsidR="0007078A">
        <w:rPr>
          <w:rFonts w:ascii="Times Roman" w:hAnsi="Times Roman"/>
          <w:lang w:val="en-GB"/>
        </w:rPr>
        <w:t xml:space="preserve"> and</w:t>
      </w:r>
    </w:p>
    <w:p w14:paraId="338FCDD1" w14:textId="7C76CA38" w:rsidR="00AC2213" w:rsidRDefault="008A5D12" w:rsidP="00C87CF5">
      <w:pPr>
        <w:pStyle w:val="ListParagraph"/>
        <w:numPr>
          <w:ilvl w:val="0"/>
          <w:numId w:val="4"/>
        </w:numPr>
        <w:shd w:val="clear" w:color="auto" w:fill="FFFFFF"/>
        <w:spacing w:after="120" w:line="360" w:lineRule="auto"/>
        <w:jc w:val="both"/>
        <w:rPr>
          <w:rFonts w:ascii="Times Roman" w:hAnsi="Times Roman"/>
          <w:lang w:val="en-GB"/>
        </w:rPr>
      </w:pPr>
      <w:r>
        <w:rPr>
          <w:rFonts w:ascii="Times Roman" w:hAnsi="Times Roman"/>
          <w:lang w:val="en-GB"/>
        </w:rPr>
        <w:t>Gold is a Sharia-compliant asset clause</w:t>
      </w:r>
      <w:r>
        <w:rPr>
          <w:rStyle w:val="FootnoteReference"/>
          <w:rFonts w:ascii="Times Roman" w:hAnsi="Times Roman"/>
          <w:lang w:val="en-GB"/>
        </w:rPr>
        <w:footnoteReference w:id="36"/>
      </w:r>
      <w:r>
        <w:rPr>
          <w:rFonts w:ascii="Times Roman" w:hAnsi="Times Roman"/>
          <w:lang w:val="en-GB"/>
        </w:rPr>
        <w:t>;</w:t>
      </w:r>
    </w:p>
    <w:p w14:paraId="70E42169" w14:textId="77777777" w:rsidR="0091337F" w:rsidRPr="0007078A" w:rsidRDefault="0091337F" w:rsidP="0091337F">
      <w:pPr>
        <w:pStyle w:val="ListParagraph"/>
        <w:shd w:val="clear" w:color="auto" w:fill="FFFFFF"/>
        <w:spacing w:after="120" w:line="360" w:lineRule="auto"/>
        <w:ind w:left="2160"/>
        <w:jc w:val="both"/>
        <w:rPr>
          <w:rFonts w:ascii="Times Roman" w:hAnsi="Times Roman"/>
          <w:lang w:val="en-GB"/>
        </w:rPr>
      </w:pPr>
    </w:p>
    <w:p w14:paraId="750FD78A" w14:textId="737B92AA" w:rsidR="00AC2213" w:rsidRDefault="0007078A"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Sergeant Scott </w:t>
      </w:r>
      <w:r w:rsidR="002459CF">
        <w:rPr>
          <w:rFonts w:ascii="Times Roman" w:hAnsi="Times Roman"/>
          <w:lang w:val="en-GB"/>
        </w:rPr>
        <w:t>was not familiar</w:t>
      </w:r>
      <w:r w:rsidR="003E7DBF">
        <w:rPr>
          <w:rFonts w:ascii="Times Roman" w:hAnsi="Times Roman"/>
          <w:lang w:val="en-GB"/>
        </w:rPr>
        <w:t xml:space="preserve"> with any of the above principles and </w:t>
      </w:r>
      <w:r w:rsidR="002459CF">
        <w:rPr>
          <w:rFonts w:ascii="Times Roman" w:hAnsi="Times Roman"/>
          <w:lang w:val="en-GB"/>
        </w:rPr>
        <w:t>as such, could not have taken those</w:t>
      </w:r>
      <w:r w:rsidR="003E7DBF">
        <w:rPr>
          <w:rFonts w:ascii="Times Roman" w:hAnsi="Times Roman"/>
          <w:lang w:val="en-GB"/>
        </w:rPr>
        <w:t xml:space="preserve"> principles into account when coming to the conclusion that money laundering had occurred in this case. </w:t>
      </w:r>
    </w:p>
    <w:p w14:paraId="10811909" w14:textId="12E821E8" w:rsidR="003E7DBF" w:rsidRDefault="003E7DB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Qualifications aside, most of what Sergeant Scott could tell the Court was </w:t>
      </w:r>
      <w:r w:rsidR="002459CF">
        <w:rPr>
          <w:rFonts w:ascii="Times Roman" w:hAnsi="Times Roman"/>
          <w:lang w:val="en-GB"/>
        </w:rPr>
        <w:t xml:space="preserve">well </w:t>
      </w:r>
      <w:r>
        <w:rPr>
          <w:rFonts w:ascii="Times Roman" w:hAnsi="Times Roman"/>
          <w:lang w:val="en-GB"/>
        </w:rPr>
        <w:t xml:space="preserve">within the routine knowledge of any layperson. </w:t>
      </w:r>
      <w:r w:rsidR="002459CF">
        <w:rPr>
          <w:rFonts w:ascii="Times Roman" w:hAnsi="Times Roman"/>
          <w:lang w:val="en-GB"/>
        </w:rPr>
        <w:t xml:space="preserve">His evidence </w:t>
      </w:r>
      <w:r>
        <w:rPr>
          <w:rFonts w:ascii="Times Roman" w:hAnsi="Times Roman"/>
          <w:lang w:val="en-GB"/>
        </w:rPr>
        <w:t>was not required to assist the trie</w:t>
      </w:r>
      <w:r w:rsidR="00AE7C12">
        <w:rPr>
          <w:rFonts w:ascii="Times Roman" w:hAnsi="Times Roman"/>
          <w:lang w:val="en-GB"/>
        </w:rPr>
        <w:t>r-</w:t>
      </w:r>
      <w:r>
        <w:rPr>
          <w:rFonts w:ascii="Times Roman" w:hAnsi="Times Roman"/>
          <w:lang w:val="en-GB"/>
        </w:rPr>
        <w:t>of</w:t>
      </w:r>
      <w:r w:rsidR="00AE7C12">
        <w:rPr>
          <w:rFonts w:ascii="Times Roman" w:hAnsi="Times Roman"/>
          <w:lang w:val="en-GB"/>
        </w:rPr>
        <w:t>-</w:t>
      </w:r>
      <w:r>
        <w:rPr>
          <w:rFonts w:ascii="Times Roman" w:hAnsi="Times Roman"/>
          <w:lang w:val="en-GB"/>
        </w:rPr>
        <w:t xml:space="preserve">fact. </w:t>
      </w:r>
      <w:r w:rsidR="00AE7C12">
        <w:rPr>
          <w:rFonts w:ascii="Times Roman" w:hAnsi="Times Roman"/>
          <w:lang w:val="en-GB"/>
        </w:rPr>
        <w:t xml:space="preserve">In accordance with the </w:t>
      </w:r>
      <w:r w:rsidR="00AE7C12">
        <w:rPr>
          <w:rFonts w:ascii="Times Roman" w:hAnsi="Times Roman"/>
          <w:i/>
          <w:iCs/>
          <w:lang w:val="en-GB"/>
        </w:rPr>
        <w:t xml:space="preserve">Mohan </w:t>
      </w:r>
      <w:r w:rsidR="00AE7C12">
        <w:rPr>
          <w:rFonts w:ascii="Times Roman" w:hAnsi="Times Roman"/>
          <w:lang w:val="en-GB"/>
        </w:rPr>
        <w:t xml:space="preserve">principles, an expert opinion should be limited to educating the trier-of-fact as to information outside the everyday knowledge of a layperson. </w:t>
      </w:r>
      <w:r>
        <w:rPr>
          <w:rFonts w:ascii="Times Roman" w:hAnsi="Times Roman"/>
          <w:lang w:val="en-GB"/>
        </w:rPr>
        <w:t>It is common knowledge that</w:t>
      </w:r>
      <w:r w:rsidR="00E45F46">
        <w:rPr>
          <w:rFonts w:ascii="Times Roman" w:hAnsi="Times Roman"/>
          <w:lang w:val="en-GB"/>
        </w:rPr>
        <w:t xml:space="preserve"> gold has an intrinsic value, that there is a limited supply in the world</w:t>
      </w:r>
      <w:r w:rsidR="002459CF">
        <w:rPr>
          <w:rFonts w:ascii="Times Roman" w:hAnsi="Times Roman"/>
          <w:lang w:val="en-GB"/>
        </w:rPr>
        <w:t xml:space="preserve">, </w:t>
      </w:r>
      <w:r w:rsidR="00AE7C12">
        <w:rPr>
          <w:rFonts w:ascii="Times Roman" w:hAnsi="Times Roman"/>
          <w:lang w:val="en-GB"/>
        </w:rPr>
        <w:t xml:space="preserve">that it is heavier but less bulky than cash, and </w:t>
      </w:r>
      <w:r w:rsidR="002459CF">
        <w:rPr>
          <w:rFonts w:ascii="Times Roman" w:hAnsi="Times Roman"/>
          <w:lang w:val="en-GB"/>
        </w:rPr>
        <w:t xml:space="preserve">that it </w:t>
      </w:r>
      <w:r w:rsidR="00AE7C12">
        <w:rPr>
          <w:rFonts w:ascii="Times Roman" w:hAnsi="Times Roman"/>
          <w:lang w:val="en-GB"/>
        </w:rPr>
        <w:t xml:space="preserve">has substantial value </w:t>
      </w:r>
      <w:r w:rsidR="009B747D">
        <w:rPr>
          <w:rFonts w:ascii="Times Roman" w:hAnsi="Times Roman"/>
          <w:lang w:val="en-GB"/>
        </w:rPr>
        <w:t>relative to its size</w:t>
      </w:r>
      <w:r>
        <w:rPr>
          <w:rFonts w:ascii="Times Roman" w:hAnsi="Times Roman"/>
          <w:lang w:val="en-GB"/>
        </w:rPr>
        <w:t xml:space="preserve">. </w:t>
      </w:r>
      <w:r w:rsidR="00AE7C12">
        <w:rPr>
          <w:rFonts w:ascii="Times Roman" w:hAnsi="Times Roman"/>
          <w:lang w:val="en-GB"/>
        </w:rPr>
        <w:t>No expertise is required to understand these concepts. Reliance on Sgt. Scott’s evidence to support what is obvious to any layperson can only serve to apply a false patina of expertise to the Crown’s money laundering allegation.</w:t>
      </w:r>
    </w:p>
    <w:p w14:paraId="733E4646" w14:textId="7712DB88" w:rsidR="00AE7C12" w:rsidRPr="00AE7C12" w:rsidRDefault="00AE7C12"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Finally</w:t>
      </w:r>
      <w:r w:rsidR="003E7DBF">
        <w:rPr>
          <w:rFonts w:ascii="Times Roman" w:hAnsi="Times Roman"/>
          <w:lang w:val="en-GB"/>
        </w:rPr>
        <w:t>, the defence takes issue with one of the central tenants of Sergeant Scott’s report, that gold is “entirely untraceable and anonymous”</w:t>
      </w:r>
      <w:r w:rsidR="003E7DBF">
        <w:rPr>
          <w:rStyle w:val="FootnoteReference"/>
          <w:rFonts w:ascii="Times Roman" w:hAnsi="Times Roman"/>
          <w:lang w:val="en-GB"/>
        </w:rPr>
        <w:footnoteReference w:id="37"/>
      </w:r>
      <w:r w:rsidR="003E7DBF">
        <w:rPr>
          <w:rFonts w:ascii="Times Roman" w:hAnsi="Times Roman"/>
          <w:lang w:val="en-GB"/>
        </w:rPr>
        <w:t xml:space="preserve"> This expert opinion is </w:t>
      </w:r>
      <w:r>
        <w:rPr>
          <w:rFonts w:ascii="Times Roman" w:hAnsi="Times Roman"/>
          <w:lang w:val="en-GB"/>
        </w:rPr>
        <w:t xml:space="preserve">not only </w:t>
      </w:r>
      <w:r w:rsidR="003E7DBF">
        <w:rPr>
          <w:rFonts w:ascii="Times Roman" w:hAnsi="Times Roman"/>
          <w:lang w:val="en-GB"/>
        </w:rPr>
        <w:t>completely unsupported</w:t>
      </w:r>
      <w:r>
        <w:rPr>
          <w:rFonts w:ascii="Times Roman" w:hAnsi="Times Roman"/>
          <w:lang w:val="en-GB"/>
        </w:rPr>
        <w:t>,</w:t>
      </w:r>
      <w:r w:rsidR="003E7DBF">
        <w:rPr>
          <w:rFonts w:ascii="Times Roman" w:hAnsi="Times Roman"/>
          <w:lang w:val="en-GB"/>
        </w:rPr>
        <w:t xml:space="preserve"> </w:t>
      </w:r>
      <w:r>
        <w:rPr>
          <w:rFonts w:ascii="Times Roman" w:hAnsi="Times Roman"/>
          <w:lang w:val="en-GB"/>
        </w:rPr>
        <w:t xml:space="preserve">but </w:t>
      </w:r>
      <w:r w:rsidR="002459CF">
        <w:rPr>
          <w:rFonts w:ascii="Times Roman" w:hAnsi="Times Roman"/>
          <w:lang w:val="en-GB"/>
        </w:rPr>
        <w:t xml:space="preserve">is </w:t>
      </w:r>
      <w:r>
        <w:rPr>
          <w:rFonts w:ascii="Times Roman" w:hAnsi="Times Roman"/>
          <w:lang w:val="en-GB"/>
        </w:rPr>
        <w:t xml:space="preserve">in fact </w:t>
      </w:r>
      <w:r w:rsidR="003E7DBF">
        <w:rPr>
          <w:rFonts w:ascii="Times Roman" w:hAnsi="Times Roman"/>
          <w:lang w:val="en-GB"/>
        </w:rPr>
        <w:t>contradicted</w:t>
      </w:r>
      <w:r>
        <w:rPr>
          <w:rFonts w:ascii="Times Roman" w:hAnsi="Times Roman"/>
          <w:lang w:val="en-GB"/>
        </w:rPr>
        <w:t>,</w:t>
      </w:r>
      <w:r w:rsidR="003E7DBF">
        <w:rPr>
          <w:rFonts w:ascii="Times Roman" w:hAnsi="Times Roman"/>
          <w:lang w:val="en-GB"/>
        </w:rPr>
        <w:t xml:space="preserve"> </w:t>
      </w:r>
      <w:r w:rsidR="00E45F46">
        <w:rPr>
          <w:rFonts w:ascii="Times Roman" w:hAnsi="Times Roman"/>
          <w:lang w:val="en-GB"/>
        </w:rPr>
        <w:t>by the evidence. A</w:t>
      </w:r>
      <w:r w:rsidR="003E7DBF">
        <w:rPr>
          <w:rFonts w:ascii="Times Roman" w:hAnsi="Times Roman"/>
          <w:lang w:val="en-GB"/>
        </w:rPr>
        <w:t xml:space="preserve"> gold bar with a unique, identifiable serial numb</w:t>
      </w:r>
      <w:r w:rsidR="002459CF">
        <w:rPr>
          <w:rFonts w:ascii="Times Roman" w:hAnsi="Times Roman"/>
          <w:lang w:val="en-GB"/>
        </w:rPr>
        <w:t>er was introduced into evidence</w:t>
      </w:r>
      <w:r w:rsidR="002459CF">
        <w:rPr>
          <w:rStyle w:val="FootnoteReference"/>
          <w:rFonts w:ascii="Times Roman" w:hAnsi="Times Roman"/>
          <w:lang w:val="en-GB"/>
        </w:rPr>
        <w:footnoteReference w:id="38"/>
      </w:r>
      <w:r w:rsidR="002459CF">
        <w:rPr>
          <w:rFonts w:ascii="Times Roman" w:hAnsi="Times Roman"/>
          <w:lang w:val="en-GB"/>
        </w:rPr>
        <w:t xml:space="preserve"> </w:t>
      </w:r>
      <w:r>
        <w:rPr>
          <w:rFonts w:ascii="Times Roman" w:hAnsi="Times Roman"/>
          <w:lang w:val="en-GB"/>
        </w:rPr>
        <w:t>as representative of the bars at issue in this case. T</w:t>
      </w:r>
      <w:r w:rsidR="003E7DBF">
        <w:rPr>
          <w:rFonts w:ascii="Times Roman" w:hAnsi="Times Roman"/>
          <w:lang w:val="en-GB"/>
        </w:rPr>
        <w:t xml:space="preserve">he gold bars </w:t>
      </w:r>
      <w:r w:rsidR="002459CF">
        <w:rPr>
          <w:rFonts w:ascii="Times Roman" w:hAnsi="Times Roman"/>
          <w:lang w:val="en-GB"/>
        </w:rPr>
        <w:t>purchased by Mr. Kalair</w:t>
      </w:r>
      <w:r w:rsidR="003E7DBF">
        <w:rPr>
          <w:rFonts w:ascii="Times Roman" w:hAnsi="Times Roman"/>
          <w:lang w:val="en-GB"/>
        </w:rPr>
        <w:t xml:space="preserve"> were </w:t>
      </w:r>
      <w:r>
        <w:rPr>
          <w:rFonts w:ascii="Times Roman" w:hAnsi="Times Roman"/>
          <w:lang w:val="en-GB"/>
        </w:rPr>
        <w:t xml:space="preserve">in fact </w:t>
      </w:r>
      <w:r w:rsidR="003E7DBF">
        <w:rPr>
          <w:rFonts w:ascii="Times Roman" w:hAnsi="Times Roman"/>
          <w:lang w:val="en-GB"/>
        </w:rPr>
        <w:t>traced</w:t>
      </w:r>
      <w:r w:rsidR="00B91609">
        <w:rPr>
          <w:rFonts w:ascii="Times Roman" w:hAnsi="Times Roman"/>
          <w:lang w:val="en-GB"/>
        </w:rPr>
        <w:t xml:space="preserve"> by </w:t>
      </w:r>
      <w:r w:rsidR="00B91609">
        <w:rPr>
          <w:rFonts w:ascii="Times Roman" w:hAnsi="Times Roman"/>
          <w:lang w:val="en-GB"/>
        </w:rPr>
        <w:lastRenderedPageBreak/>
        <w:t>serial numbers, which were provided by both Scotiabank and Bendix upon request</w:t>
      </w:r>
      <w:r w:rsidR="00B91609">
        <w:rPr>
          <w:rStyle w:val="FootnoteReference"/>
          <w:rFonts w:ascii="Times Roman" w:hAnsi="Times Roman"/>
          <w:lang w:val="en-GB"/>
        </w:rPr>
        <w:footnoteReference w:id="39"/>
      </w:r>
      <w:r w:rsidR="00B91609">
        <w:rPr>
          <w:rFonts w:ascii="Times Roman" w:hAnsi="Times Roman"/>
          <w:lang w:val="en-GB"/>
        </w:rPr>
        <w:t>.</w:t>
      </w:r>
      <w:r>
        <w:rPr>
          <w:rFonts w:ascii="Times Roman" w:hAnsi="Times Roman"/>
          <w:lang w:val="en-GB"/>
        </w:rPr>
        <w:t xml:space="preserve"> Each bar noted the original manufacturer and was easily traceable through the financial system by resort to its serial number. Only if a bar were to be melted down and re</w:t>
      </w:r>
      <w:r w:rsidR="001A0079">
        <w:rPr>
          <w:rFonts w:ascii="Times Roman" w:hAnsi="Times Roman"/>
          <w:lang w:val="en-GB"/>
        </w:rPr>
        <w:t>-</w:t>
      </w:r>
      <w:r>
        <w:rPr>
          <w:rFonts w:ascii="Times Roman" w:hAnsi="Times Roman"/>
          <w:lang w:val="en-GB"/>
        </w:rPr>
        <w:t>formed would its source be obscured.</w:t>
      </w:r>
    </w:p>
    <w:p w14:paraId="455597AC" w14:textId="3D6B3265" w:rsidR="003E7DBF" w:rsidRPr="007D2A41" w:rsidRDefault="00E45F4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AA57B2">
        <w:rPr>
          <w:rFonts w:ascii="Times Roman" w:hAnsi="Times Roman"/>
          <w:lang w:val="en-GB"/>
        </w:rPr>
        <w:t>S</w:t>
      </w:r>
      <w:r w:rsidR="00AE7C12" w:rsidRPr="00AA57B2">
        <w:rPr>
          <w:rFonts w:ascii="Times Roman" w:hAnsi="Times Roman"/>
          <w:lang w:val="en-GB"/>
        </w:rPr>
        <w:t>gt.</w:t>
      </w:r>
      <w:r w:rsidRPr="00AA57B2">
        <w:rPr>
          <w:rFonts w:ascii="Times Roman" w:hAnsi="Times Roman"/>
          <w:lang w:val="en-GB"/>
        </w:rPr>
        <w:t xml:space="preserve"> Scott </w:t>
      </w:r>
      <w:r w:rsidR="007D2A41" w:rsidRPr="00AA57B2">
        <w:rPr>
          <w:rFonts w:ascii="Times Roman" w:hAnsi="Times Roman"/>
          <w:lang w:val="en-GB"/>
        </w:rPr>
        <w:t xml:space="preserve">was unable to </w:t>
      </w:r>
      <w:r w:rsidRPr="00AA57B2">
        <w:rPr>
          <w:rFonts w:ascii="Times Roman" w:hAnsi="Times Roman"/>
          <w:lang w:val="en-GB"/>
        </w:rPr>
        <w:t>say whether the funds used to purchase th</w:t>
      </w:r>
      <w:r w:rsidR="00B91609" w:rsidRPr="00AA57B2">
        <w:rPr>
          <w:rFonts w:ascii="Times Roman" w:hAnsi="Times Roman"/>
          <w:lang w:val="en-GB"/>
        </w:rPr>
        <w:t>e</w:t>
      </w:r>
      <w:r w:rsidR="007D2A41" w:rsidRPr="00AA57B2">
        <w:rPr>
          <w:rFonts w:ascii="Times Roman" w:hAnsi="Times Roman"/>
          <w:lang w:val="en-GB"/>
        </w:rPr>
        <w:t xml:space="preserve"> precious metals</w:t>
      </w:r>
      <w:r w:rsidR="00B91609" w:rsidRPr="00AA57B2">
        <w:rPr>
          <w:rFonts w:ascii="Times Roman" w:hAnsi="Times Roman"/>
          <w:lang w:val="en-GB"/>
        </w:rPr>
        <w:t xml:space="preserve"> were</w:t>
      </w:r>
      <w:r w:rsidRPr="00AA57B2">
        <w:rPr>
          <w:rFonts w:ascii="Times Roman" w:hAnsi="Times Roman"/>
          <w:lang w:val="en-GB"/>
        </w:rPr>
        <w:t xml:space="preserve"> sourced in a crime.</w:t>
      </w:r>
      <w:r w:rsidRPr="00AA57B2">
        <w:rPr>
          <w:rStyle w:val="FootnoteReference"/>
          <w:rFonts w:ascii="Times Roman" w:hAnsi="Times Roman"/>
          <w:lang w:val="en-GB"/>
        </w:rPr>
        <w:footnoteReference w:id="40"/>
      </w:r>
      <w:r w:rsidRPr="00AA57B2">
        <w:rPr>
          <w:rFonts w:ascii="Times Roman" w:hAnsi="Times Roman"/>
          <w:lang w:val="en-GB"/>
        </w:rPr>
        <w:t xml:space="preserve"> He </w:t>
      </w:r>
      <w:r w:rsidR="007D2A41" w:rsidRPr="00AA57B2">
        <w:rPr>
          <w:rFonts w:ascii="Times Roman" w:hAnsi="Times Roman"/>
          <w:lang w:val="en-GB"/>
        </w:rPr>
        <w:t xml:space="preserve">testified that </w:t>
      </w:r>
      <w:r w:rsidRPr="00AA57B2">
        <w:rPr>
          <w:rFonts w:ascii="Times Roman" w:hAnsi="Times Roman"/>
          <w:lang w:val="en-GB"/>
        </w:rPr>
        <w:t>confidentiality is a central tenant of money laundering</w:t>
      </w:r>
      <w:r w:rsidRPr="00AA57B2">
        <w:rPr>
          <w:rStyle w:val="FootnoteReference"/>
          <w:rFonts w:ascii="Times Roman" w:hAnsi="Times Roman"/>
          <w:lang w:val="en-GB"/>
        </w:rPr>
        <w:footnoteReference w:id="41"/>
      </w:r>
      <w:r w:rsidR="007D2A41" w:rsidRPr="00AA57B2">
        <w:rPr>
          <w:rFonts w:ascii="Times Roman" w:hAnsi="Times Roman"/>
          <w:lang w:val="en-GB"/>
        </w:rPr>
        <w:t xml:space="preserve"> yet the evidence from BNS and Bendix is unequivocal. </w:t>
      </w:r>
      <w:r w:rsidRPr="00AA57B2">
        <w:rPr>
          <w:rFonts w:ascii="Times Roman" w:hAnsi="Times Roman"/>
          <w:lang w:val="en-GB"/>
        </w:rPr>
        <w:t>Mr. Kalair makes no effort to shield his identi</w:t>
      </w:r>
      <w:r w:rsidR="007D2A41" w:rsidRPr="00AA57B2">
        <w:rPr>
          <w:rFonts w:ascii="Times Roman" w:hAnsi="Times Roman"/>
          <w:lang w:val="en-GB"/>
        </w:rPr>
        <w:t>ty</w:t>
      </w:r>
      <w:r w:rsidRPr="00AA57B2">
        <w:rPr>
          <w:rFonts w:ascii="Times Roman" w:hAnsi="Times Roman"/>
          <w:lang w:val="en-GB"/>
        </w:rPr>
        <w:t xml:space="preserve">. </w:t>
      </w:r>
      <w:r w:rsidR="007D2A41" w:rsidRPr="00AA57B2">
        <w:rPr>
          <w:rFonts w:ascii="Times Roman" w:hAnsi="Times Roman"/>
          <w:lang w:val="en-GB"/>
        </w:rPr>
        <w:t>He attends in-person, p</w:t>
      </w:r>
      <w:r w:rsidRPr="00AA57B2">
        <w:rPr>
          <w:rFonts w:ascii="Times Roman" w:hAnsi="Times Roman"/>
          <w:lang w:val="en-GB"/>
        </w:rPr>
        <w:t>rovid</w:t>
      </w:r>
      <w:r w:rsidR="007D2A41" w:rsidRPr="00AA57B2">
        <w:rPr>
          <w:rFonts w:ascii="Times Roman" w:hAnsi="Times Roman"/>
          <w:lang w:val="en-GB"/>
        </w:rPr>
        <w:t>ing</w:t>
      </w:r>
      <w:r w:rsidRPr="00AA57B2">
        <w:rPr>
          <w:rFonts w:ascii="Times Roman" w:hAnsi="Times Roman"/>
          <w:lang w:val="en-GB"/>
        </w:rPr>
        <w:t xml:space="preserve"> </w:t>
      </w:r>
      <w:r w:rsidR="007D2A41" w:rsidRPr="00AA57B2">
        <w:rPr>
          <w:rFonts w:ascii="Times Roman" w:hAnsi="Times Roman"/>
          <w:lang w:val="en-GB"/>
        </w:rPr>
        <w:t>legitimate government-issued identification</w:t>
      </w:r>
      <w:r w:rsidRPr="00AA57B2">
        <w:rPr>
          <w:rFonts w:ascii="Times Roman" w:hAnsi="Times Roman"/>
          <w:lang w:val="en-GB"/>
        </w:rPr>
        <w:t xml:space="preserve"> </w:t>
      </w:r>
      <w:r w:rsidR="007D2A41" w:rsidRPr="00AA57B2">
        <w:rPr>
          <w:rFonts w:ascii="Times Roman" w:hAnsi="Times Roman"/>
          <w:lang w:val="en-GB"/>
        </w:rPr>
        <w:t>(driver’s</w:t>
      </w:r>
      <w:r w:rsidR="00B91609" w:rsidRPr="00AA57B2">
        <w:rPr>
          <w:rFonts w:ascii="Times Roman" w:hAnsi="Times Roman"/>
          <w:lang w:val="en-GB"/>
        </w:rPr>
        <w:t xml:space="preserve"> license</w:t>
      </w:r>
      <w:r w:rsidR="007D2A41" w:rsidRPr="00AA57B2">
        <w:rPr>
          <w:rFonts w:ascii="Times Roman" w:hAnsi="Times Roman"/>
          <w:lang w:val="en-GB"/>
        </w:rPr>
        <w:t xml:space="preserve"> and </w:t>
      </w:r>
      <w:r w:rsidR="00B91609" w:rsidRPr="00AA57B2">
        <w:rPr>
          <w:rFonts w:ascii="Times Roman" w:hAnsi="Times Roman"/>
          <w:lang w:val="en-GB"/>
        </w:rPr>
        <w:t>passport</w:t>
      </w:r>
      <w:r w:rsidR="007D2A41" w:rsidRPr="00AA57B2">
        <w:rPr>
          <w:rFonts w:ascii="Times Roman" w:hAnsi="Times Roman"/>
          <w:lang w:val="en-GB"/>
        </w:rPr>
        <w:t>)</w:t>
      </w:r>
      <w:r w:rsidR="00B91609" w:rsidRPr="00AA57B2">
        <w:rPr>
          <w:rFonts w:ascii="Times Roman" w:hAnsi="Times Roman"/>
          <w:lang w:val="en-GB"/>
        </w:rPr>
        <w:t xml:space="preserve">, </w:t>
      </w:r>
      <w:r w:rsidR="007D2A41" w:rsidRPr="00AA57B2">
        <w:rPr>
          <w:rFonts w:ascii="Times Roman" w:hAnsi="Times Roman"/>
          <w:lang w:val="en-GB"/>
        </w:rPr>
        <w:t xml:space="preserve">along with a </w:t>
      </w:r>
      <w:r w:rsidR="00B91609" w:rsidRPr="00AA57B2">
        <w:rPr>
          <w:rFonts w:ascii="Times Roman" w:hAnsi="Times Roman"/>
          <w:lang w:val="en-GB"/>
        </w:rPr>
        <w:t>business card and some media articles</w:t>
      </w:r>
      <w:r w:rsidR="007D2A41" w:rsidRPr="00AA57B2">
        <w:rPr>
          <w:rFonts w:ascii="Times Roman" w:hAnsi="Times Roman"/>
          <w:lang w:val="en-GB"/>
        </w:rPr>
        <w:t>.</w:t>
      </w:r>
      <w:r w:rsidR="00B91609" w:rsidRPr="00AA57B2">
        <w:rPr>
          <w:rStyle w:val="FootnoteReference"/>
          <w:rFonts w:ascii="Times Roman" w:hAnsi="Times Roman"/>
          <w:lang w:val="en-GB"/>
        </w:rPr>
        <w:footnoteReference w:id="42"/>
      </w:r>
      <w:r w:rsidRPr="00AA57B2">
        <w:rPr>
          <w:rFonts w:ascii="Times Roman" w:hAnsi="Times Roman"/>
          <w:lang w:val="en-GB"/>
        </w:rPr>
        <w:t xml:space="preserve"> </w:t>
      </w:r>
      <w:r w:rsidR="007D2A41" w:rsidRPr="00AA57B2">
        <w:rPr>
          <w:rFonts w:ascii="Times Roman" w:hAnsi="Times Roman"/>
          <w:lang w:val="en-GB"/>
        </w:rPr>
        <w:t xml:space="preserve">A portion of the gold is even referenced in </w:t>
      </w:r>
      <w:r w:rsidRPr="00AA57B2">
        <w:rPr>
          <w:rFonts w:ascii="Times Roman" w:hAnsi="Times Roman"/>
          <w:lang w:val="en-GB"/>
        </w:rPr>
        <w:t>a draft commitment letter that was provided to one of the largest non-bank commercial lenders in Canada</w:t>
      </w:r>
      <w:r w:rsidR="007D2A41" w:rsidRPr="00AA57B2">
        <w:rPr>
          <w:rFonts w:ascii="Times Roman" w:hAnsi="Times Roman"/>
          <w:lang w:val="en-GB"/>
        </w:rPr>
        <w:t xml:space="preserve"> (Romspen)</w:t>
      </w:r>
      <w:r w:rsidRPr="00AA57B2">
        <w:rPr>
          <w:rFonts w:ascii="Times Roman" w:hAnsi="Times Roman"/>
          <w:lang w:val="en-GB"/>
        </w:rPr>
        <w:t>. Sergeant Scott agree</w:t>
      </w:r>
      <w:r w:rsidR="007D2A41" w:rsidRPr="00AA57B2">
        <w:rPr>
          <w:rFonts w:ascii="Times Roman" w:hAnsi="Times Roman"/>
          <w:lang w:val="en-GB"/>
        </w:rPr>
        <w:t>d</w:t>
      </w:r>
      <w:r w:rsidRPr="00AA57B2">
        <w:rPr>
          <w:rFonts w:ascii="Times Roman" w:hAnsi="Times Roman"/>
          <w:lang w:val="en-GB"/>
        </w:rPr>
        <w:t xml:space="preserve"> that this</w:t>
      </w:r>
      <w:r w:rsidR="007D2A41" w:rsidRPr="00AA57B2">
        <w:rPr>
          <w:rFonts w:ascii="Times Roman" w:hAnsi="Times Roman"/>
          <w:lang w:val="en-GB"/>
        </w:rPr>
        <w:t xml:space="preserve"> wa</w:t>
      </w:r>
      <w:r w:rsidRPr="00AA57B2">
        <w:rPr>
          <w:rFonts w:ascii="Times Roman" w:hAnsi="Times Roman"/>
          <w:lang w:val="en-GB"/>
        </w:rPr>
        <w:t>s not typical money laundering behaviour.</w:t>
      </w:r>
      <w:r w:rsidRPr="00AA57B2">
        <w:rPr>
          <w:rStyle w:val="FootnoteReference"/>
          <w:rFonts w:ascii="Times Roman" w:hAnsi="Times Roman"/>
          <w:lang w:val="en-GB"/>
        </w:rPr>
        <w:footnoteReference w:id="43"/>
      </w:r>
      <w:r w:rsidRPr="00AA57B2">
        <w:rPr>
          <w:rFonts w:ascii="Times Roman" w:hAnsi="Times Roman"/>
          <w:lang w:val="en-GB"/>
        </w:rPr>
        <w:t xml:space="preserve"> </w:t>
      </w:r>
      <w:r w:rsidR="007D2A41" w:rsidRPr="00AA57B2">
        <w:rPr>
          <w:rFonts w:ascii="Times Roman" w:hAnsi="Times Roman"/>
          <w:lang w:val="en-GB"/>
        </w:rPr>
        <w:t>In his own description of the ‘stages of money laundering’, Sgt. Scott agreed that ‘stage three’ had no application to this case and stages five and six lacked any evidence.</w:t>
      </w:r>
      <w:r w:rsidR="00B91609" w:rsidRPr="00AA57B2">
        <w:rPr>
          <w:rStyle w:val="FootnoteReference"/>
          <w:rFonts w:ascii="Times Roman" w:hAnsi="Times Roman"/>
          <w:lang w:val="en-GB"/>
        </w:rPr>
        <w:footnoteReference w:id="44"/>
      </w:r>
      <w:r w:rsidR="00B91609" w:rsidRPr="00AA57B2">
        <w:rPr>
          <w:rFonts w:ascii="Times Roman" w:hAnsi="Times Roman"/>
          <w:lang w:val="en-GB"/>
        </w:rPr>
        <w:t xml:space="preserve"> </w:t>
      </w:r>
    </w:p>
    <w:p w14:paraId="200B83DE" w14:textId="1635E6AE" w:rsidR="007D2A41" w:rsidRPr="00B91609" w:rsidRDefault="007D2A41"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For all the above reasons, Sgt. Scott’s evidence should be highly constrained, provided very little weight, and abjectly fails to prove the offence of money laundering beyond a reasonable doubt.</w:t>
      </w:r>
    </w:p>
    <w:p w14:paraId="1D46709F" w14:textId="77777777" w:rsidR="00D627B5" w:rsidRDefault="00D627B5" w:rsidP="00D627B5">
      <w:pPr>
        <w:pStyle w:val="ListParagraph"/>
        <w:shd w:val="clear" w:color="auto" w:fill="FFFFFF"/>
        <w:spacing w:after="120" w:line="360" w:lineRule="auto"/>
        <w:ind w:left="0"/>
        <w:contextualSpacing w:val="0"/>
        <w:jc w:val="both"/>
        <w:rPr>
          <w:rFonts w:ascii="Times Roman" w:hAnsi="Times Roman"/>
          <w:lang w:val="en-GB"/>
        </w:rPr>
      </w:pPr>
    </w:p>
    <w:p w14:paraId="6843CE3C" w14:textId="77777777" w:rsidR="00D627B5" w:rsidRDefault="00D627B5" w:rsidP="00D627B5">
      <w:pPr>
        <w:pStyle w:val="Heading1"/>
        <w:spacing w:before="0" w:after="120" w:line="360" w:lineRule="auto"/>
        <w:jc w:val="both"/>
        <w:rPr>
          <w:rFonts w:ascii="Times" w:hAnsi="Times"/>
          <w:color w:val="auto"/>
        </w:rPr>
      </w:pPr>
      <w:bookmarkStart w:id="13" w:name="_Toc411860390"/>
      <w:r w:rsidRPr="001F4229">
        <w:rPr>
          <w:rFonts w:ascii="Times" w:hAnsi="Times"/>
          <w:color w:val="auto"/>
        </w:rPr>
        <w:lastRenderedPageBreak/>
        <w:t>V. Summary of the Facts</w:t>
      </w:r>
      <w:bookmarkEnd w:id="13"/>
      <w:r w:rsidRPr="001F4229">
        <w:rPr>
          <w:rFonts w:ascii="Times" w:hAnsi="Times"/>
          <w:color w:val="auto"/>
        </w:rPr>
        <w:t xml:space="preserve"> </w:t>
      </w:r>
    </w:p>
    <w:p w14:paraId="0C4BC937" w14:textId="77777777" w:rsidR="00D627B5" w:rsidRPr="006F31C9" w:rsidRDefault="00D627B5" w:rsidP="00D627B5">
      <w:pPr>
        <w:pStyle w:val="Heading2"/>
      </w:pPr>
      <w:bookmarkStart w:id="14" w:name="_Toc411860391"/>
      <w:r w:rsidRPr="00877788">
        <w:t>C</w:t>
      </w:r>
      <w:r>
        <w:t>rown Evidence</w:t>
      </w:r>
      <w:bookmarkEnd w:id="14"/>
    </w:p>
    <w:p w14:paraId="4A18E8D4" w14:textId="0A55AA5A" w:rsidR="00D627B5" w:rsidRDefault="006B6A8C" w:rsidP="00C87CF5">
      <w:pPr>
        <w:pStyle w:val="Heading3"/>
        <w:numPr>
          <w:ilvl w:val="0"/>
          <w:numId w:val="7"/>
        </w:numPr>
        <w:rPr>
          <w:rFonts w:cs="Times"/>
          <w:color w:val="auto"/>
        </w:rPr>
      </w:pPr>
      <w:bookmarkStart w:id="15" w:name="_Toc411860392"/>
      <w:r>
        <w:rPr>
          <w:rFonts w:cs="Times"/>
          <w:color w:val="auto"/>
        </w:rPr>
        <w:t xml:space="preserve">Evidence of </w:t>
      </w:r>
      <w:r w:rsidR="00D627B5">
        <w:rPr>
          <w:rFonts w:cs="Times"/>
          <w:color w:val="auto"/>
        </w:rPr>
        <w:t>Vickie Sacco</w:t>
      </w:r>
      <w:r>
        <w:rPr>
          <w:rFonts w:cs="Times"/>
          <w:color w:val="auto"/>
        </w:rPr>
        <w:t xml:space="preserve"> (Central 1)</w:t>
      </w:r>
      <w:bookmarkEnd w:id="15"/>
    </w:p>
    <w:p w14:paraId="4EB4D4D4" w14:textId="77777777" w:rsidR="00353A9F" w:rsidRDefault="00353A9F" w:rsidP="00353A9F">
      <w:pPr>
        <w:ind w:left="720"/>
      </w:pPr>
    </w:p>
    <w:p w14:paraId="6A3232CC" w14:textId="48E41F40" w:rsidR="00353A9F" w:rsidRPr="00353A9F" w:rsidRDefault="00353A9F" w:rsidP="00353A9F">
      <w:pPr>
        <w:pStyle w:val="Heading4"/>
        <w:ind w:firstLine="720"/>
        <w:rPr>
          <w:color w:val="auto"/>
        </w:rPr>
      </w:pPr>
      <w:bookmarkStart w:id="16" w:name="_Toc411860393"/>
      <w:r w:rsidRPr="00353A9F">
        <w:rPr>
          <w:color w:val="auto"/>
        </w:rPr>
        <w:t>The Ultimate Misunderstanding</w:t>
      </w:r>
      <w:bookmarkEnd w:id="16"/>
    </w:p>
    <w:p w14:paraId="22D3BC9D" w14:textId="77777777" w:rsidR="00353A9F" w:rsidRPr="00353A9F" w:rsidRDefault="00353A9F" w:rsidP="00353A9F">
      <w:pPr>
        <w:ind w:left="720"/>
      </w:pPr>
    </w:p>
    <w:p w14:paraId="2C10025E" w14:textId="547925B3" w:rsidR="00C813F3" w:rsidRDefault="00B959ED"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In 2005, Central 1, known as CUCO at the time, entered into a commercial partnership with UM. The CUCO point of contac</w:t>
      </w:r>
      <w:r w:rsidR="00AA57B2">
        <w:rPr>
          <w:rFonts w:ascii="Times Roman" w:hAnsi="Times Roman"/>
          <w:lang w:val="en-GB"/>
        </w:rPr>
        <w:t>t</w:t>
      </w:r>
      <w:r>
        <w:rPr>
          <w:rFonts w:ascii="Times Roman" w:hAnsi="Times Roman"/>
          <w:lang w:val="en-GB"/>
        </w:rPr>
        <w:t xml:space="preserve"> was </w:t>
      </w:r>
      <w:r w:rsidR="00B91609">
        <w:rPr>
          <w:rFonts w:ascii="Times Roman" w:hAnsi="Times Roman"/>
          <w:lang w:val="en-GB"/>
        </w:rPr>
        <w:t xml:space="preserve">originally </w:t>
      </w:r>
      <w:r>
        <w:rPr>
          <w:rFonts w:ascii="Times Roman" w:hAnsi="Times Roman"/>
          <w:lang w:val="en-GB"/>
        </w:rPr>
        <w:t>Mr. Jens Lohmueller</w:t>
      </w:r>
      <w:r w:rsidR="00B91609">
        <w:rPr>
          <w:rFonts w:ascii="Times Roman" w:hAnsi="Times Roman"/>
          <w:lang w:val="en-GB"/>
        </w:rPr>
        <w:t xml:space="preserve">, who was </w:t>
      </w:r>
      <w:r w:rsidR="00C813F3">
        <w:rPr>
          <w:rFonts w:ascii="Times Roman" w:hAnsi="Times Roman"/>
          <w:lang w:val="en-GB"/>
        </w:rPr>
        <w:t>Manager of Commercial Lending</w:t>
      </w:r>
      <w:r w:rsidR="002E1143">
        <w:rPr>
          <w:rFonts w:ascii="Times Roman" w:hAnsi="Times Roman"/>
          <w:lang w:val="en-GB"/>
        </w:rPr>
        <w:t xml:space="preserve"> and Product Development</w:t>
      </w:r>
      <w:r>
        <w:rPr>
          <w:rFonts w:ascii="Times Roman" w:hAnsi="Times Roman"/>
          <w:lang w:val="en-GB"/>
        </w:rPr>
        <w:t>.</w:t>
      </w:r>
      <w:r>
        <w:rPr>
          <w:rStyle w:val="FootnoteReference"/>
          <w:rFonts w:ascii="Times Roman" w:hAnsi="Times Roman"/>
          <w:lang w:val="en-GB"/>
        </w:rPr>
        <w:footnoteReference w:id="45"/>
      </w:r>
      <w:r>
        <w:rPr>
          <w:rFonts w:ascii="Times Roman" w:hAnsi="Times Roman"/>
          <w:lang w:val="en-GB"/>
        </w:rPr>
        <w:t xml:space="preserve"> Mr. Lohmueller </w:t>
      </w:r>
      <w:r w:rsidR="00C813F3">
        <w:rPr>
          <w:rFonts w:ascii="Times Roman" w:hAnsi="Times Roman"/>
          <w:lang w:val="en-GB"/>
        </w:rPr>
        <w:t>worked with UM to develop the business model</w:t>
      </w:r>
      <w:r w:rsidR="00B91609">
        <w:rPr>
          <w:rFonts w:ascii="Times Roman" w:hAnsi="Times Roman"/>
          <w:lang w:val="en-GB"/>
        </w:rPr>
        <w:t xml:space="preserve">. On </w:t>
      </w:r>
      <w:r w:rsidR="00C813F3">
        <w:rPr>
          <w:rFonts w:ascii="Times Roman" w:hAnsi="Times Roman"/>
          <w:lang w:val="en-GB"/>
        </w:rPr>
        <w:t xml:space="preserve">August 26, 2005, he wrote a letter on CUCO </w:t>
      </w:r>
      <w:r w:rsidR="004267C8">
        <w:rPr>
          <w:rFonts w:ascii="Times Roman" w:hAnsi="Times Roman"/>
          <w:lang w:val="en-GB"/>
        </w:rPr>
        <w:t>letterhead explaining the Islamic principles that were to govern the relationship</w:t>
      </w:r>
      <w:r w:rsidR="00C813F3">
        <w:rPr>
          <w:rFonts w:ascii="Times Roman" w:hAnsi="Times Roman"/>
          <w:lang w:val="en-GB"/>
        </w:rPr>
        <w:t>.</w:t>
      </w:r>
      <w:r w:rsidR="00C813F3">
        <w:rPr>
          <w:rStyle w:val="FootnoteReference"/>
          <w:rFonts w:ascii="Times Roman" w:hAnsi="Times Roman"/>
          <w:lang w:val="en-GB"/>
        </w:rPr>
        <w:footnoteReference w:id="46"/>
      </w:r>
      <w:r w:rsidR="00FD745D">
        <w:rPr>
          <w:rFonts w:ascii="Times Roman" w:hAnsi="Times Roman"/>
          <w:lang w:val="en-GB"/>
        </w:rPr>
        <w:t xml:space="preserve"> The subject line of the letter is “UM Financial Shariah Board Ruling.”</w:t>
      </w:r>
      <w:r w:rsidR="00C813F3">
        <w:rPr>
          <w:rFonts w:ascii="Times Roman" w:hAnsi="Times Roman"/>
          <w:lang w:val="en-GB"/>
        </w:rPr>
        <w:t xml:space="preserve"> Of importance are the following passages (emphasis added):</w:t>
      </w:r>
    </w:p>
    <w:p w14:paraId="5B5322A6" w14:textId="0A2313D5" w:rsidR="00C813F3" w:rsidRDefault="00C813F3" w:rsidP="00C813F3">
      <w:pPr>
        <w:shd w:val="clear" w:color="auto" w:fill="FFFFFF"/>
        <w:spacing w:after="120" w:line="360" w:lineRule="auto"/>
        <w:ind w:left="720"/>
        <w:jc w:val="both"/>
        <w:rPr>
          <w:rFonts w:ascii="Times Roman" w:hAnsi="Times Roman"/>
          <w:lang w:val="en-GB"/>
        </w:rPr>
      </w:pPr>
      <w:r>
        <w:rPr>
          <w:rFonts w:ascii="Times Roman" w:hAnsi="Times Roman"/>
          <w:lang w:val="en-GB"/>
        </w:rPr>
        <w:t xml:space="preserve">“The residential mortgage contract between the client and UMF are based on the </w:t>
      </w:r>
      <w:r w:rsidRPr="00C813F3">
        <w:rPr>
          <w:rFonts w:ascii="Times Roman" w:hAnsi="Times Roman"/>
          <w:u w:val="single"/>
          <w:lang w:val="en-GB"/>
        </w:rPr>
        <w:t>Islamic concept of Murabahah</w:t>
      </w:r>
      <w:r>
        <w:rPr>
          <w:rFonts w:ascii="Times Roman" w:hAnsi="Times Roman"/>
          <w:lang w:val="en-GB"/>
        </w:rPr>
        <w:t xml:space="preserve">. Under the Murabahah concept, UM Financial purchases a residential real estate for a client and sells it to the client with a pre-agreed upon profit. </w:t>
      </w:r>
      <w:r w:rsidRPr="00C813F3">
        <w:rPr>
          <w:rFonts w:ascii="Times Roman" w:hAnsi="Times Roman"/>
          <w:u w:val="single"/>
          <w:lang w:val="en-GB"/>
        </w:rPr>
        <w:t>The underlying mortgage contract does not contain interest</w:t>
      </w:r>
      <w:r>
        <w:rPr>
          <w:rFonts w:ascii="Times Roman" w:hAnsi="Times Roman"/>
          <w:lang w:val="en-GB"/>
        </w:rPr>
        <w:t>.</w:t>
      </w:r>
    </w:p>
    <w:p w14:paraId="07588008" w14:textId="69345F69" w:rsidR="00B91609" w:rsidRDefault="00B91609" w:rsidP="00C813F3">
      <w:pPr>
        <w:shd w:val="clear" w:color="auto" w:fill="FFFFFF"/>
        <w:spacing w:after="120" w:line="360" w:lineRule="auto"/>
        <w:ind w:left="720"/>
        <w:jc w:val="both"/>
        <w:rPr>
          <w:rFonts w:ascii="Times Roman" w:hAnsi="Times Roman"/>
          <w:lang w:val="en-GB"/>
        </w:rPr>
      </w:pPr>
      <w:r>
        <w:rPr>
          <w:rFonts w:ascii="Times Roman" w:hAnsi="Times Roman"/>
          <w:lang w:val="en-GB"/>
        </w:rPr>
        <w:t>AND</w:t>
      </w:r>
    </w:p>
    <w:p w14:paraId="1A66693C" w14:textId="243A2ADE" w:rsidR="00C813F3" w:rsidRPr="00C813F3" w:rsidRDefault="00C813F3" w:rsidP="00B91609">
      <w:pPr>
        <w:shd w:val="clear" w:color="auto" w:fill="FFFFFF"/>
        <w:spacing w:after="120" w:line="360" w:lineRule="auto"/>
        <w:ind w:left="720"/>
        <w:jc w:val="both"/>
        <w:rPr>
          <w:rFonts w:ascii="Times Roman" w:hAnsi="Times Roman"/>
          <w:lang w:val="en-GB"/>
        </w:rPr>
      </w:pPr>
      <w:r>
        <w:rPr>
          <w:rFonts w:ascii="Times Roman" w:hAnsi="Times Roman"/>
          <w:lang w:val="en-GB"/>
        </w:rPr>
        <w:t xml:space="preserve">Credit Union Central of Ontario is making financing available to UM Financial to assist in the purchasing of said residential real estate. </w:t>
      </w:r>
      <w:r w:rsidRPr="00C813F3">
        <w:rPr>
          <w:rFonts w:ascii="Times Roman" w:hAnsi="Times Roman"/>
          <w:u w:val="single"/>
          <w:lang w:val="en-GB"/>
        </w:rPr>
        <w:t>This relationship was formed based upon the concept of Mudarabah</w:t>
      </w:r>
      <w:r>
        <w:rPr>
          <w:rFonts w:ascii="Times Roman" w:hAnsi="Times Roman"/>
          <w:lang w:val="en-GB"/>
        </w:rPr>
        <w:t xml:space="preserve">. The financing contract is based on a pre-agreed upon profit sharing ratio between both parties and </w:t>
      </w:r>
      <w:r w:rsidRPr="00C813F3">
        <w:rPr>
          <w:rFonts w:ascii="Times Roman" w:hAnsi="Times Roman"/>
          <w:u w:val="single"/>
          <w:lang w:val="en-GB"/>
        </w:rPr>
        <w:t>proceeds are shared</w:t>
      </w:r>
      <w:r>
        <w:rPr>
          <w:rFonts w:ascii="Times Roman" w:hAnsi="Times Roman"/>
          <w:lang w:val="en-GB"/>
        </w:rPr>
        <w:t xml:space="preserve"> after the occurrence on a monthly basis. </w:t>
      </w:r>
      <w:r w:rsidRPr="00C813F3">
        <w:rPr>
          <w:rFonts w:ascii="Times Roman" w:hAnsi="Times Roman"/>
          <w:u w:val="single"/>
          <w:lang w:val="en-GB"/>
        </w:rPr>
        <w:t>The underlying financing contract does not contain interest</w:t>
      </w:r>
      <w:r>
        <w:rPr>
          <w:rFonts w:ascii="Times Roman" w:hAnsi="Times Roman"/>
          <w:lang w:val="en-GB"/>
        </w:rPr>
        <w:t>.”</w:t>
      </w:r>
    </w:p>
    <w:p w14:paraId="48385F15" w14:textId="0DF759D4" w:rsidR="00B91609" w:rsidRDefault="0055510D"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Ms. Sacco was </w:t>
      </w:r>
      <w:r w:rsidR="00B91609">
        <w:rPr>
          <w:rFonts w:ascii="Times Roman" w:hAnsi="Times Roman"/>
          <w:lang w:val="en-GB"/>
        </w:rPr>
        <w:t>delegated</w:t>
      </w:r>
      <w:r>
        <w:rPr>
          <w:rFonts w:ascii="Times Roman" w:hAnsi="Times Roman"/>
          <w:lang w:val="en-GB"/>
        </w:rPr>
        <w:t xml:space="preserve"> to administer </w:t>
      </w:r>
      <w:r w:rsidR="006F2CF3">
        <w:rPr>
          <w:rFonts w:ascii="Times Roman" w:hAnsi="Times Roman"/>
          <w:lang w:val="en-GB"/>
        </w:rPr>
        <w:t xml:space="preserve">the credit lending facility </w:t>
      </w:r>
      <w:r w:rsidR="00A11C68">
        <w:rPr>
          <w:rFonts w:ascii="Times Roman" w:hAnsi="Times Roman"/>
          <w:lang w:val="en-GB"/>
        </w:rPr>
        <w:t xml:space="preserve">and she administered the relationship right up </w:t>
      </w:r>
      <w:r w:rsidR="00B91609">
        <w:rPr>
          <w:rFonts w:ascii="Times Roman" w:hAnsi="Times Roman"/>
          <w:lang w:val="en-GB"/>
        </w:rPr>
        <w:t xml:space="preserve">until </w:t>
      </w:r>
      <w:r w:rsidR="00A11C68">
        <w:rPr>
          <w:rFonts w:ascii="Times Roman" w:hAnsi="Times Roman"/>
          <w:lang w:val="en-GB"/>
        </w:rPr>
        <w:t>the receivership</w:t>
      </w:r>
      <w:r w:rsidR="006F2CF3">
        <w:rPr>
          <w:rFonts w:ascii="Times Roman" w:hAnsi="Times Roman"/>
          <w:lang w:val="en-GB"/>
        </w:rPr>
        <w:t>.</w:t>
      </w:r>
      <w:r w:rsidR="006F2CF3">
        <w:rPr>
          <w:rStyle w:val="FootnoteReference"/>
          <w:rFonts w:ascii="Times Roman" w:hAnsi="Times Roman"/>
          <w:lang w:val="en-GB"/>
        </w:rPr>
        <w:footnoteReference w:id="47"/>
      </w:r>
      <w:r w:rsidR="00173269">
        <w:rPr>
          <w:rFonts w:ascii="Times Roman" w:hAnsi="Times Roman"/>
          <w:lang w:val="en-GB"/>
        </w:rPr>
        <w:t xml:space="preserve"> </w:t>
      </w:r>
      <w:r w:rsidR="007D2A41">
        <w:rPr>
          <w:rFonts w:ascii="Times Roman" w:hAnsi="Times Roman"/>
          <w:lang w:val="en-GB"/>
        </w:rPr>
        <w:t xml:space="preserve">Shockingly, Ms. Sacco </w:t>
      </w:r>
      <w:r w:rsidR="007D2A41">
        <w:rPr>
          <w:rFonts w:ascii="Times Roman" w:hAnsi="Times Roman"/>
          <w:lang w:val="en-GB"/>
        </w:rPr>
        <w:lastRenderedPageBreak/>
        <w:t xml:space="preserve">testified that </w:t>
      </w:r>
      <w:r w:rsidR="00173269">
        <w:rPr>
          <w:rFonts w:ascii="Times Roman" w:hAnsi="Times Roman"/>
          <w:lang w:val="en-GB"/>
        </w:rPr>
        <w:t>she had never seen the above-noted letter signed by Mr. Lohmueller</w:t>
      </w:r>
      <w:r w:rsidR="00F02506">
        <w:rPr>
          <w:rFonts w:ascii="Times Roman" w:hAnsi="Times Roman"/>
          <w:lang w:val="en-GB"/>
        </w:rPr>
        <w:t xml:space="preserve"> until it was shown to her at trial</w:t>
      </w:r>
      <w:r w:rsidR="00173269">
        <w:rPr>
          <w:rFonts w:ascii="Times Roman" w:hAnsi="Times Roman"/>
          <w:lang w:val="en-GB"/>
        </w:rPr>
        <w:t>.</w:t>
      </w:r>
      <w:r w:rsidR="006F3947">
        <w:rPr>
          <w:rStyle w:val="FootnoteReference"/>
          <w:rFonts w:ascii="Times Roman" w:hAnsi="Times Roman"/>
          <w:lang w:val="en-GB"/>
        </w:rPr>
        <w:footnoteReference w:id="48"/>
      </w:r>
    </w:p>
    <w:p w14:paraId="6455816E" w14:textId="66EEBD70" w:rsidR="0056703F" w:rsidRPr="0071053B" w:rsidRDefault="00F0250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Sacco testified that she </w:t>
      </w:r>
      <w:r w:rsidR="008F5F0B" w:rsidRPr="0071053B">
        <w:rPr>
          <w:rFonts w:ascii="Times Roman" w:hAnsi="Times Roman"/>
          <w:lang w:val="en-GB"/>
        </w:rPr>
        <w:t xml:space="preserve">was </w:t>
      </w:r>
      <w:r>
        <w:rPr>
          <w:rFonts w:ascii="Times Roman" w:hAnsi="Times Roman"/>
          <w:lang w:val="en-GB"/>
        </w:rPr>
        <w:t xml:space="preserve">never </w:t>
      </w:r>
      <w:r w:rsidR="008F5F0B" w:rsidRPr="0071053B">
        <w:rPr>
          <w:rFonts w:ascii="Times Roman" w:hAnsi="Times Roman"/>
          <w:lang w:val="en-GB"/>
        </w:rPr>
        <w:t xml:space="preserve">given any indication </w:t>
      </w:r>
      <w:r>
        <w:rPr>
          <w:rFonts w:ascii="Times Roman" w:hAnsi="Times Roman"/>
          <w:lang w:val="en-GB"/>
        </w:rPr>
        <w:t xml:space="preserve">by anyone at C1 </w:t>
      </w:r>
      <w:r w:rsidR="008F5F0B" w:rsidRPr="0071053B">
        <w:rPr>
          <w:rFonts w:ascii="Times Roman" w:hAnsi="Times Roman"/>
          <w:lang w:val="en-GB"/>
        </w:rPr>
        <w:t xml:space="preserve">that UM was anything but a traditional interest-bearing </w:t>
      </w:r>
      <w:r w:rsidR="0055510D" w:rsidRPr="0071053B">
        <w:rPr>
          <w:rFonts w:ascii="Times Roman" w:hAnsi="Times Roman"/>
          <w:lang w:val="en-GB"/>
        </w:rPr>
        <w:t>commercial loan</w:t>
      </w:r>
      <w:r w:rsidR="00B91609">
        <w:rPr>
          <w:rFonts w:ascii="Times Roman" w:hAnsi="Times Roman"/>
          <w:lang w:val="en-GB"/>
        </w:rPr>
        <w:t xml:space="preserve"> company</w:t>
      </w:r>
      <w:r w:rsidR="00437402" w:rsidRPr="0071053B">
        <w:rPr>
          <w:rFonts w:ascii="Times Roman" w:hAnsi="Times Roman"/>
          <w:lang w:val="en-GB"/>
        </w:rPr>
        <w:t>: (emphasis added)</w:t>
      </w:r>
      <w:r w:rsidR="008F5F0B" w:rsidRPr="0071053B">
        <w:rPr>
          <w:rFonts w:ascii="Times Roman" w:hAnsi="Times Roman"/>
          <w:lang w:val="en-GB"/>
        </w:rPr>
        <w:t xml:space="preserve"> </w:t>
      </w:r>
    </w:p>
    <w:p w14:paraId="7B8B19B7" w14:textId="77777777" w:rsidR="00437402" w:rsidRDefault="00437402" w:rsidP="00437402">
      <w:pPr>
        <w:shd w:val="clear" w:color="auto" w:fill="FFFFFF"/>
        <w:spacing w:after="120" w:line="360" w:lineRule="auto"/>
        <w:ind w:left="720"/>
        <w:jc w:val="both"/>
        <w:rPr>
          <w:rFonts w:ascii="Times Roman" w:hAnsi="Times Roman"/>
          <w:lang w:val="en-GB"/>
        </w:rPr>
      </w:pPr>
      <w:r w:rsidRPr="00437402">
        <w:rPr>
          <w:rFonts w:ascii="Times Roman" w:hAnsi="Times Roman"/>
          <w:lang w:val="en-GB"/>
        </w:rPr>
        <w:t>Q. So, you keep making that distinction with their clients, but I’m going to suggest to you that it was equally important that the relationship between Central and UM be a Sharia-compliant relationship.</w:t>
      </w:r>
    </w:p>
    <w:p w14:paraId="0FE04264" w14:textId="77777777" w:rsidR="002A7CA1" w:rsidRPr="00437402" w:rsidRDefault="002A7CA1" w:rsidP="002A7CA1">
      <w:pPr>
        <w:shd w:val="clear" w:color="auto" w:fill="FFFFFF"/>
        <w:spacing w:after="120" w:line="360" w:lineRule="auto"/>
        <w:jc w:val="both"/>
        <w:rPr>
          <w:rFonts w:ascii="Times Roman" w:hAnsi="Times Roman"/>
          <w:lang w:val="en-GB"/>
        </w:rPr>
      </w:pPr>
    </w:p>
    <w:p w14:paraId="2266850F" w14:textId="77777777" w:rsidR="00437402" w:rsidRDefault="00437402" w:rsidP="00437402">
      <w:pPr>
        <w:shd w:val="clear" w:color="auto" w:fill="FFFFFF"/>
        <w:spacing w:after="120" w:line="360" w:lineRule="auto"/>
        <w:ind w:left="720"/>
        <w:jc w:val="both"/>
        <w:rPr>
          <w:rFonts w:ascii="Times Roman" w:hAnsi="Times Roman"/>
          <w:u w:val="single"/>
          <w:lang w:val="en-GB"/>
        </w:rPr>
      </w:pPr>
      <w:r w:rsidRPr="00437402">
        <w:rPr>
          <w:rFonts w:ascii="Times Roman" w:hAnsi="Times Roman"/>
          <w:lang w:val="en-GB"/>
        </w:rPr>
        <w:t xml:space="preserve">A. </w:t>
      </w:r>
      <w:r w:rsidRPr="00437402">
        <w:rPr>
          <w:rFonts w:ascii="Times Roman" w:hAnsi="Times Roman"/>
          <w:u w:val="single"/>
          <w:lang w:val="en-GB"/>
        </w:rPr>
        <w:t>In all my time, I’ve never heard that ever reference that our relationship with UM was based off any kind of Sharia.</w:t>
      </w:r>
    </w:p>
    <w:p w14:paraId="295FB784" w14:textId="77777777" w:rsidR="002A7CA1" w:rsidRPr="00437402" w:rsidRDefault="002A7CA1" w:rsidP="00437402">
      <w:pPr>
        <w:shd w:val="clear" w:color="auto" w:fill="FFFFFF"/>
        <w:spacing w:after="120" w:line="360" w:lineRule="auto"/>
        <w:ind w:left="720"/>
        <w:jc w:val="both"/>
        <w:rPr>
          <w:rFonts w:ascii="Times Roman" w:hAnsi="Times Roman"/>
          <w:lang w:val="en-GB"/>
        </w:rPr>
      </w:pPr>
    </w:p>
    <w:p w14:paraId="58101DD7" w14:textId="7D55A79B" w:rsidR="002A7CA1" w:rsidRDefault="00437402" w:rsidP="002A7CA1">
      <w:pPr>
        <w:shd w:val="clear" w:color="auto" w:fill="FFFFFF"/>
        <w:spacing w:after="120" w:line="360" w:lineRule="auto"/>
        <w:ind w:left="720"/>
        <w:jc w:val="both"/>
        <w:rPr>
          <w:rFonts w:ascii="Times Roman" w:hAnsi="Times Roman"/>
          <w:lang w:val="en-GB"/>
        </w:rPr>
      </w:pPr>
      <w:r w:rsidRPr="00437402">
        <w:rPr>
          <w:rFonts w:ascii="Times Roman" w:hAnsi="Times Roman"/>
          <w:lang w:val="en-GB"/>
        </w:rPr>
        <w:t>Q. That’s interesting. So, no one, none of your supervisors or any of the other staff in all of your years of dealing with UM Financial, did you ever receive notice or information that says, we’ve got to make sure we’re in Sharia compliance with this client?</w:t>
      </w:r>
    </w:p>
    <w:p w14:paraId="5A0BD1BB" w14:textId="77777777" w:rsidR="002A7CA1" w:rsidRPr="00437402" w:rsidRDefault="002A7CA1" w:rsidP="002A7CA1">
      <w:pPr>
        <w:shd w:val="clear" w:color="auto" w:fill="FFFFFF"/>
        <w:spacing w:after="120" w:line="360" w:lineRule="auto"/>
        <w:ind w:left="720"/>
        <w:jc w:val="both"/>
        <w:rPr>
          <w:rFonts w:ascii="Times Roman" w:hAnsi="Times Roman"/>
          <w:lang w:val="en-GB"/>
        </w:rPr>
      </w:pPr>
    </w:p>
    <w:p w14:paraId="01B3032A" w14:textId="4B8D1343" w:rsidR="0091337F" w:rsidRPr="00437402" w:rsidRDefault="00437402" w:rsidP="0091337F">
      <w:pPr>
        <w:shd w:val="clear" w:color="auto" w:fill="FFFFFF"/>
        <w:spacing w:after="120" w:line="360" w:lineRule="auto"/>
        <w:ind w:left="720"/>
        <w:jc w:val="both"/>
        <w:rPr>
          <w:rFonts w:ascii="Times Roman" w:hAnsi="Times Roman"/>
          <w:lang w:val="en-GB"/>
        </w:rPr>
      </w:pPr>
      <w:r w:rsidRPr="00437402">
        <w:rPr>
          <w:rFonts w:ascii="Times Roman" w:hAnsi="Times Roman"/>
          <w:lang w:val="en-GB"/>
        </w:rPr>
        <w:t xml:space="preserve">A. </w:t>
      </w:r>
      <w:r w:rsidRPr="00437402">
        <w:rPr>
          <w:rFonts w:ascii="Times Roman" w:hAnsi="Times Roman"/>
          <w:u w:val="single"/>
          <w:lang w:val="en-GB"/>
        </w:rPr>
        <w:t>Absolutely not, no. Yeah, no.</w:t>
      </w:r>
    </w:p>
    <w:p w14:paraId="790A6BDC" w14:textId="7F59BA05" w:rsidR="00C71B99" w:rsidRDefault="000F7140"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Ms. Sacco was not provided a historical background of the company </w:t>
      </w:r>
      <w:r w:rsidR="002A7CA1">
        <w:rPr>
          <w:rFonts w:ascii="Times Roman" w:hAnsi="Times Roman"/>
          <w:lang w:val="en-GB"/>
        </w:rPr>
        <w:t>and was not told about</w:t>
      </w:r>
      <w:r>
        <w:rPr>
          <w:rFonts w:ascii="Times Roman" w:hAnsi="Times Roman"/>
          <w:lang w:val="en-GB"/>
        </w:rPr>
        <w:t xml:space="preserve"> the uniqueness of this specific business relationship.</w:t>
      </w:r>
      <w:r>
        <w:rPr>
          <w:rStyle w:val="FootnoteReference"/>
          <w:rFonts w:ascii="Times Roman" w:hAnsi="Times Roman"/>
          <w:lang w:val="en-GB"/>
        </w:rPr>
        <w:footnoteReference w:id="49"/>
      </w:r>
      <w:r>
        <w:rPr>
          <w:rFonts w:ascii="Times Roman" w:hAnsi="Times Roman"/>
          <w:lang w:val="en-GB"/>
        </w:rPr>
        <w:t xml:space="preserve"> </w:t>
      </w:r>
      <w:r w:rsidR="00F02506">
        <w:rPr>
          <w:rFonts w:ascii="Times Roman" w:hAnsi="Times Roman"/>
          <w:lang w:val="en-GB"/>
        </w:rPr>
        <w:t>M</w:t>
      </w:r>
      <w:r w:rsidR="00C71B99">
        <w:rPr>
          <w:rFonts w:ascii="Times Roman" w:hAnsi="Times Roman"/>
          <w:lang w:val="en-GB"/>
        </w:rPr>
        <w:t>ost disturbing</w:t>
      </w:r>
      <w:r w:rsidR="00F02506">
        <w:rPr>
          <w:rFonts w:ascii="Times Roman" w:hAnsi="Times Roman"/>
          <w:lang w:val="en-GB"/>
        </w:rPr>
        <w:t>ly,</w:t>
      </w:r>
      <w:r w:rsidR="00C71B99">
        <w:rPr>
          <w:rFonts w:ascii="Times Roman" w:hAnsi="Times Roman"/>
          <w:lang w:val="en-GB"/>
        </w:rPr>
        <w:t xml:space="preserve"> Sacco asked her superiors outright whether or not C1 had Sharia compliancy obligations</w:t>
      </w:r>
      <w:r w:rsidR="002A7CA1">
        <w:rPr>
          <w:rFonts w:ascii="Times Roman" w:hAnsi="Times Roman"/>
          <w:lang w:val="en-GB"/>
        </w:rPr>
        <w:t>. Her evidence was as follows</w:t>
      </w:r>
      <w:r w:rsidR="00C71B99">
        <w:rPr>
          <w:rFonts w:ascii="Times Roman" w:hAnsi="Times Roman"/>
          <w:lang w:val="en-GB"/>
        </w:rPr>
        <w:t xml:space="preserve"> (emphasis added)</w:t>
      </w:r>
      <w:r w:rsidR="00C71B99">
        <w:rPr>
          <w:rStyle w:val="FootnoteReference"/>
          <w:rFonts w:ascii="Times Roman" w:hAnsi="Times Roman"/>
          <w:lang w:val="en-GB"/>
        </w:rPr>
        <w:footnoteReference w:id="50"/>
      </w:r>
      <w:r w:rsidR="00C71B99">
        <w:rPr>
          <w:rFonts w:ascii="Times Roman" w:hAnsi="Times Roman"/>
          <w:lang w:val="en-GB"/>
        </w:rPr>
        <w:t>:</w:t>
      </w:r>
    </w:p>
    <w:p w14:paraId="64C02477" w14:textId="6BFA561B" w:rsidR="002A7CA1" w:rsidRDefault="00C71B99" w:rsidP="002A7CA1">
      <w:pPr>
        <w:pStyle w:val="ListParagraph"/>
        <w:shd w:val="clear" w:color="auto" w:fill="FFFFFF"/>
        <w:spacing w:after="120" w:line="360" w:lineRule="auto"/>
        <w:jc w:val="both"/>
        <w:rPr>
          <w:rFonts w:ascii="Times Roman" w:hAnsi="Times Roman"/>
          <w:lang w:val="en-GB"/>
        </w:rPr>
      </w:pPr>
      <w:r w:rsidRPr="00C71B99">
        <w:rPr>
          <w:rFonts w:ascii="Times Roman" w:hAnsi="Times Roman"/>
          <w:lang w:val="en-GB"/>
        </w:rPr>
        <w:t xml:space="preserve">Q. I see. So, at some point as you were more involved in the, sort of, managing these loans, I guess by that point you had seen a lot more Sharia related words, </w:t>
      </w:r>
      <w:r w:rsidRPr="00C71B99">
        <w:rPr>
          <w:rFonts w:ascii="Times Roman" w:hAnsi="Times Roman"/>
          <w:lang w:val="en-GB"/>
        </w:rPr>
        <w:lastRenderedPageBreak/>
        <w:t>words like Mudarabah, Musharaka, and you started to wonder is there anything Sharia compliant I need to be worried about representing Central, correct?</w:t>
      </w:r>
    </w:p>
    <w:p w14:paraId="7DC635ED" w14:textId="77777777" w:rsidR="002A7CA1" w:rsidRPr="002A7CA1" w:rsidRDefault="002A7CA1" w:rsidP="002A7CA1">
      <w:pPr>
        <w:pStyle w:val="ListParagraph"/>
        <w:shd w:val="clear" w:color="auto" w:fill="FFFFFF"/>
        <w:spacing w:after="120" w:line="360" w:lineRule="auto"/>
        <w:jc w:val="both"/>
        <w:rPr>
          <w:rFonts w:ascii="Times Roman" w:hAnsi="Times Roman"/>
          <w:lang w:val="en-GB"/>
        </w:rPr>
      </w:pPr>
    </w:p>
    <w:p w14:paraId="4DBAB575" w14:textId="77777777" w:rsidR="00C71B99" w:rsidRDefault="00C71B99" w:rsidP="00C71B99">
      <w:pPr>
        <w:pStyle w:val="ListParagraph"/>
        <w:shd w:val="clear" w:color="auto" w:fill="FFFFFF"/>
        <w:spacing w:after="120" w:line="360" w:lineRule="auto"/>
        <w:jc w:val="both"/>
        <w:rPr>
          <w:rFonts w:ascii="Times Roman" w:hAnsi="Times Roman"/>
          <w:lang w:val="en-GB"/>
        </w:rPr>
      </w:pPr>
      <w:r w:rsidRPr="00C71B99">
        <w:rPr>
          <w:rFonts w:ascii="Times Roman" w:hAnsi="Times Roman"/>
          <w:lang w:val="en-GB"/>
        </w:rPr>
        <w:t>A. I just – it was probably just a general off the cuff question, you know.</w:t>
      </w:r>
    </w:p>
    <w:p w14:paraId="380FC97F" w14:textId="77777777" w:rsidR="002A7CA1" w:rsidRPr="00C71B99" w:rsidRDefault="002A7CA1" w:rsidP="00C71B99">
      <w:pPr>
        <w:pStyle w:val="ListParagraph"/>
        <w:shd w:val="clear" w:color="auto" w:fill="FFFFFF"/>
        <w:spacing w:after="120" w:line="360" w:lineRule="auto"/>
        <w:jc w:val="both"/>
        <w:rPr>
          <w:rFonts w:ascii="Times Roman" w:hAnsi="Times Roman"/>
          <w:lang w:val="en-GB"/>
        </w:rPr>
      </w:pPr>
    </w:p>
    <w:p w14:paraId="0ED01868" w14:textId="77777777" w:rsidR="00C71B99" w:rsidRDefault="00C71B99" w:rsidP="00C71B99">
      <w:pPr>
        <w:pStyle w:val="ListParagraph"/>
        <w:shd w:val="clear" w:color="auto" w:fill="FFFFFF"/>
        <w:spacing w:after="120" w:line="360" w:lineRule="auto"/>
        <w:jc w:val="both"/>
        <w:rPr>
          <w:rFonts w:ascii="Times Roman" w:hAnsi="Times Roman"/>
          <w:lang w:val="en-GB"/>
        </w:rPr>
      </w:pPr>
      <w:r w:rsidRPr="00C71B99">
        <w:rPr>
          <w:rFonts w:ascii="Times Roman" w:hAnsi="Times Roman"/>
          <w:lang w:val="en-GB"/>
        </w:rPr>
        <w:t>Q. Do you recall what the – I know you’re not going to get the exact word of the question, right?</w:t>
      </w:r>
    </w:p>
    <w:p w14:paraId="50B1E57A" w14:textId="77777777" w:rsidR="002A7CA1" w:rsidRPr="00C71B99" w:rsidRDefault="002A7CA1" w:rsidP="00C71B99">
      <w:pPr>
        <w:pStyle w:val="ListParagraph"/>
        <w:shd w:val="clear" w:color="auto" w:fill="FFFFFF"/>
        <w:spacing w:after="120" w:line="360" w:lineRule="auto"/>
        <w:jc w:val="both"/>
        <w:rPr>
          <w:rFonts w:ascii="Times Roman" w:hAnsi="Times Roman"/>
          <w:lang w:val="en-GB"/>
        </w:rPr>
      </w:pPr>
    </w:p>
    <w:p w14:paraId="60450B85" w14:textId="77777777" w:rsidR="00C71B99" w:rsidRDefault="00C71B99" w:rsidP="00C71B99">
      <w:pPr>
        <w:pStyle w:val="ListParagraph"/>
        <w:shd w:val="clear" w:color="auto" w:fill="FFFFFF"/>
        <w:spacing w:after="120" w:line="360" w:lineRule="auto"/>
        <w:jc w:val="both"/>
        <w:rPr>
          <w:rFonts w:ascii="Times Roman" w:hAnsi="Times Roman"/>
          <w:lang w:val="en-GB"/>
        </w:rPr>
      </w:pPr>
      <w:r w:rsidRPr="00C71B99">
        <w:rPr>
          <w:rFonts w:ascii="Times Roman" w:hAnsi="Times Roman"/>
          <w:lang w:val="en-GB"/>
        </w:rPr>
        <w:t>A. No, no, I just – yeah, I just – I think I just said, you know, is – “These aren’t Sharia compliant from our end, right?” Something to that effect.</w:t>
      </w:r>
    </w:p>
    <w:p w14:paraId="53BD5914" w14:textId="77777777" w:rsidR="002A7CA1" w:rsidRPr="00C71B99" w:rsidRDefault="002A7CA1" w:rsidP="00C71B99">
      <w:pPr>
        <w:pStyle w:val="ListParagraph"/>
        <w:shd w:val="clear" w:color="auto" w:fill="FFFFFF"/>
        <w:spacing w:after="120" w:line="360" w:lineRule="auto"/>
        <w:jc w:val="both"/>
        <w:rPr>
          <w:rFonts w:ascii="Times Roman" w:hAnsi="Times Roman"/>
          <w:lang w:val="en-GB"/>
        </w:rPr>
      </w:pPr>
    </w:p>
    <w:p w14:paraId="53D7E0EE" w14:textId="77777777" w:rsidR="00C71B99" w:rsidRDefault="00C71B99" w:rsidP="00C71B99">
      <w:pPr>
        <w:pStyle w:val="ListParagraph"/>
        <w:shd w:val="clear" w:color="auto" w:fill="FFFFFF"/>
        <w:spacing w:after="120" w:line="360" w:lineRule="auto"/>
        <w:jc w:val="both"/>
        <w:rPr>
          <w:rFonts w:ascii="Times Roman" w:hAnsi="Times Roman"/>
          <w:lang w:val="en-GB"/>
        </w:rPr>
      </w:pPr>
      <w:r w:rsidRPr="00C71B99">
        <w:rPr>
          <w:rFonts w:ascii="Times Roman" w:hAnsi="Times Roman"/>
          <w:lang w:val="en-GB"/>
        </w:rPr>
        <w:t>Q. I see. So, basically say, look on our side the bank or the credit union, we don’t have to do this Sharia compliance stuff, right? That’s problem.</w:t>
      </w:r>
    </w:p>
    <w:p w14:paraId="220F335A" w14:textId="77777777" w:rsidR="002A7CA1" w:rsidRPr="00C71B99" w:rsidRDefault="002A7CA1" w:rsidP="00C71B99">
      <w:pPr>
        <w:pStyle w:val="ListParagraph"/>
        <w:shd w:val="clear" w:color="auto" w:fill="FFFFFF"/>
        <w:spacing w:after="120" w:line="360" w:lineRule="auto"/>
        <w:jc w:val="both"/>
        <w:rPr>
          <w:rFonts w:ascii="Times Roman" w:hAnsi="Times Roman"/>
          <w:lang w:val="en-GB"/>
        </w:rPr>
      </w:pPr>
    </w:p>
    <w:p w14:paraId="1BDCEEB8" w14:textId="77777777" w:rsidR="00C71B99" w:rsidRDefault="00C71B99" w:rsidP="00C71B99">
      <w:pPr>
        <w:pStyle w:val="ListParagraph"/>
        <w:shd w:val="clear" w:color="auto" w:fill="FFFFFF"/>
        <w:spacing w:after="120" w:line="360" w:lineRule="auto"/>
        <w:jc w:val="both"/>
        <w:rPr>
          <w:rFonts w:ascii="Times Roman" w:hAnsi="Times Roman"/>
          <w:lang w:val="en-GB"/>
        </w:rPr>
      </w:pPr>
      <w:r w:rsidRPr="00C71B99">
        <w:rPr>
          <w:rFonts w:ascii="Times Roman" w:hAnsi="Times Roman"/>
          <w:lang w:val="en-GB"/>
        </w:rPr>
        <w:t>A. Something very probably off the cuff, yeah.</w:t>
      </w:r>
    </w:p>
    <w:p w14:paraId="3C31CA6E" w14:textId="77777777" w:rsidR="002A7CA1" w:rsidRPr="00C71B99" w:rsidRDefault="002A7CA1" w:rsidP="00C71B99">
      <w:pPr>
        <w:pStyle w:val="ListParagraph"/>
        <w:shd w:val="clear" w:color="auto" w:fill="FFFFFF"/>
        <w:spacing w:after="120" w:line="360" w:lineRule="auto"/>
        <w:jc w:val="both"/>
        <w:rPr>
          <w:rFonts w:ascii="Times Roman" w:hAnsi="Times Roman"/>
          <w:lang w:val="en-GB"/>
        </w:rPr>
      </w:pPr>
    </w:p>
    <w:p w14:paraId="05BEBDAC" w14:textId="77777777" w:rsidR="00C71B99" w:rsidRDefault="00C71B99" w:rsidP="00C71B99">
      <w:pPr>
        <w:pStyle w:val="ListParagraph"/>
        <w:shd w:val="clear" w:color="auto" w:fill="FFFFFF"/>
        <w:spacing w:after="120" w:line="360" w:lineRule="auto"/>
        <w:jc w:val="both"/>
        <w:rPr>
          <w:rFonts w:ascii="Times Roman" w:hAnsi="Times Roman"/>
          <w:lang w:val="en-GB"/>
        </w:rPr>
      </w:pPr>
      <w:r w:rsidRPr="00C71B99">
        <w:rPr>
          <w:rFonts w:ascii="Times Roman" w:hAnsi="Times Roman"/>
          <w:lang w:val="en-GB"/>
        </w:rPr>
        <w:t xml:space="preserve">Q. Okay. </w:t>
      </w:r>
      <w:r w:rsidRPr="00C71B99">
        <w:rPr>
          <w:rFonts w:ascii="Times Roman" w:hAnsi="Times Roman"/>
          <w:u w:val="single"/>
          <w:lang w:val="en-GB"/>
        </w:rPr>
        <w:t>And the answer you got, to your recollection, was no, you don’t have to worry about Sharia compliance</w:t>
      </w:r>
      <w:r w:rsidRPr="00C71B99">
        <w:rPr>
          <w:rFonts w:ascii="Times Roman" w:hAnsi="Times Roman"/>
          <w:lang w:val="en-GB"/>
        </w:rPr>
        <w:t>.</w:t>
      </w:r>
    </w:p>
    <w:p w14:paraId="5D2FA36B" w14:textId="77777777" w:rsidR="002A7CA1" w:rsidRPr="00C71B99" w:rsidRDefault="002A7CA1" w:rsidP="00C71B99">
      <w:pPr>
        <w:pStyle w:val="ListParagraph"/>
        <w:shd w:val="clear" w:color="auto" w:fill="FFFFFF"/>
        <w:spacing w:after="120" w:line="360" w:lineRule="auto"/>
        <w:jc w:val="both"/>
        <w:rPr>
          <w:rFonts w:ascii="Times Roman" w:hAnsi="Times Roman"/>
          <w:lang w:val="en-GB"/>
        </w:rPr>
      </w:pPr>
    </w:p>
    <w:p w14:paraId="079D2853" w14:textId="01A4CF7C" w:rsidR="002A7CA1" w:rsidRPr="00F02506" w:rsidRDefault="00C71B99" w:rsidP="00F02506">
      <w:pPr>
        <w:pStyle w:val="ListParagraph"/>
        <w:shd w:val="clear" w:color="auto" w:fill="FFFFFF"/>
        <w:spacing w:after="120" w:line="360" w:lineRule="auto"/>
        <w:ind w:left="0" w:firstLine="720"/>
        <w:contextualSpacing w:val="0"/>
        <w:jc w:val="both"/>
        <w:rPr>
          <w:rFonts w:ascii="Times Roman" w:hAnsi="Times Roman"/>
          <w:lang w:val="en-GB"/>
        </w:rPr>
      </w:pPr>
      <w:r w:rsidRPr="00C71B99">
        <w:rPr>
          <w:rFonts w:ascii="Times Roman" w:hAnsi="Times Roman"/>
          <w:lang w:val="en-GB"/>
        </w:rPr>
        <w:t xml:space="preserve">A. </w:t>
      </w:r>
      <w:r w:rsidRPr="00C71B99">
        <w:rPr>
          <w:rFonts w:ascii="Times Roman" w:hAnsi="Times Roman"/>
          <w:u w:val="single"/>
          <w:lang w:val="en-GB"/>
        </w:rPr>
        <w:t>Probably, yes, something similar, yeah</w:t>
      </w:r>
      <w:r w:rsidRPr="00C71B99">
        <w:rPr>
          <w:rFonts w:ascii="Times Roman" w:hAnsi="Times Roman"/>
          <w:lang w:val="en-GB"/>
        </w:rPr>
        <w:t>.</w:t>
      </w:r>
    </w:p>
    <w:p w14:paraId="4C189141" w14:textId="77777777" w:rsidR="00CB6CFD" w:rsidRPr="00CB6CFD" w:rsidRDefault="00CB6CFD" w:rsidP="00CB6CFD">
      <w:pPr>
        <w:pStyle w:val="ListParagraph"/>
        <w:shd w:val="clear" w:color="auto" w:fill="FFFFFF"/>
        <w:spacing w:after="120" w:line="360" w:lineRule="auto"/>
        <w:jc w:val="both"/>
        <w:rPr>
          <w:rFonts w:ascii="Times Roman" w:hAnsi="Times Roman"/>
          <w:lang w:val="en-GB"/>
        </w:rPr>
      </w:pPr>
      <w:r w:rsidRPr="00CB6CFD">
        <w:rPr>
          <w:rFonts w:ascii="Times Roman" w:hAnsi="Times Roman"/>
          <w:lang w:val="en-GB"/>
        </w:rPr>
        <w:t>Q. And that, I would suggest then, explains why you didn’t have to take any steps to talk to Sharia Scholars or to get clarity from anyone internally or externally on Islamic finance, correct?</w:t>
      </w:r>
    </w:p>
    <w:p w14:paraId="1D0053B7" w14:textId="0A5198BA" w:rsidR="00C71B99" w:rsidRPr="00C71B99" w:rsidRDefault="00F02506" w:rsidP="00F02506">
      <w:pPr>
        <w:pStyle w:val="ListParagraph"/>
        <w:shd w:val="clear" w:color="auto" w:fill="FFFFFF"/>
        <w:spacing w:after="120" w:line="360" w:lineRule="auto"/>
        <w:contextualSpacing w:val="0"/>
        <w:jc w:val="both"/>
        <w:rPr>
          <w:rFonts w:ascii="Times Roman" w:hAnsi="Times Roman"/>
          <w:lang w:val="en-GB"/>
        </w:rPr>
      </w:pPr>
      <w:r>
        <w:rPr>
          <w:rFonts w:ascii="Times Roman" w:hAnsi="Times Roman"/>
          <w:lang w:val="en-GB"/>
        </w:rPr>
        <w:br/>
      </w:r>
      <w:r w:rsidR="00CB6CFD" w:rsidRPr="00CB6CFD">
        <w:rPr>
          <w:rFonts w:ascii="Times Roman" w:hAnsi="Times Roman"/>
          <w:lang w:val="en-GB"/>
        </w:rPr>
        <w:t>A. That’s correct.</w:t>
      </w:r>
    </w:p>
    <w:p w14:paraId="67C24E71" w14:textId="2EC25A63" w:rsidR="002E1143" w:rsidRDefault="002E1143"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Ms. Sacco was further unaware of the multiple </w:t>
      </w:r>
      <w:r w:rsidR="002A7CA1">
        <w:rPr>
          <w:rFonts w:ascii="Times Roman" w:hAnsi="Times Roman"/>
          <w:lang w:val="en-GB"/>
        </w:rPr>
        <w:t xml:space="preserve">edits to </w:t>
      </w:r>
      <w:r>
        <w:rPr>
          <w:rFonts w:ascii="Times Roman" w:hAnsi="Times Roman"/>
          <w:lang w:val="en-GB"/>
        </w:rPr>
        <w:t xml:space="preserve">the </w:t>
      </w:r>
      <w:r w:rsidR="00F02506">
        <w:rPr>
          <w:rFonts w:ascii="Times Roman" w:hAnsi="Times Roman"/>
          <w:lang w:val="en-GB"/>
        </w:rPr>
        <w:t xml:space="preserve">original </w:t>
      </w:r>
      <w:r>
        <w:rPr>
          <w:rFonts w:ascii="Times Roman" w:hAnsi="Times Roman"/>
          <w:lang w:val="en-GB"/>
        </w:rPr>
        <w:t>commitment</w:t>
      </w:r>
      <w:r w:rsidR="002A7CA1">
        <w:rPr>
          <w:rFonts w:ascii="Times Roman" w:hAnsi="Times Roman"/>
          <w:lang w:val="en-GB"/>
        </w:rPr>
        <w:t xml:space="preserve"> letters that </w:t>
      </w:r>
      <w:r w:rsidR="00F02506">
        <w:rPr>
          <w:rFonts w:ascii="Times Roman" w:hAnsi="Times Roman"/>
          <w:lang w:val="en-GB"/>
        </w:rPr>
        <w:t>had been</w:t>
      </w:r>
      <w:r w:rsidR="002A7CA1">
        <w:rPr>
          <w:rFonts w:ascii="Times Roman" w:hAnsi="Times Roman"/>
          <w:lang w:val="en-GB"/>
        </w:rPr>
        <w:t xml:space="preserve"> drafted to</w:t>
      </w:r>
      <w:r>
        <w:rPr>
          <w:rFonts w:ascii="Times Roman" w:hAnsi="Times Roman"/>
          <w:lang w:val="en-GB"/>
        </w:rPr>
        <w:t xml:space="preserve"> ensure that the </w:t>
      </w:r>
      <w:r w:rsidR="002A7CA1">
        <w:rPr>
          <w:rFonts w:ascii="Times Roman" w:hAnsi="Times Roman"/>
          <w:lang w:val="en-GB"/>
        </w:rPr>
        <w:t>contracts themselves were</w:t>
      </w:r>
      <w:r>
        <w:rPr>
          <w:rFonts w:ascii="Times Roman" w:hAnsi="Times Roman"/>
          <w:lang w:val="en-GB"/>
        </w:rPr>
        <w:t xml:space="preserve"> Sharia compliant. Ms. Sacco was asked to compare the executed commitment letter with the draft version</w:t>
      </w:r>
      <w:r w:rsidR="00CB6CFD">
        <w:rPr>
          <w:rFonts w:ascii="Times Roman" w:hAnsi="Times Roman"/>
          <w:lang w:val="en-GB"/>
        </w:rPr>
        <w:t xml:space="preserve"> (</w:t>
      </w:r>
      <w:r w:rsidR="002A7CA1">
        <w:rPr>
          <w:rFonts w:ascii="Times Roman" w:hAnsi="Times Roman"/>
          <w:lang w:val="en-GB"/>
        </w:rPr>
        <w:t xml:space="preserve">shown to her </w:t>
      </w:r>
      <w:r w:rsidR="00CB6CFD">
        <w:rPr>
          <w:rFonts w:ascii="Times Roman" w:hAnsi="Times Roman"/>
          <w:lang w:val="en-GB"/>
        </w:rPr>
        <w:t>a</w:t>
      </w:r>
      <w:r w:rsidR="002A7CA1">
        <w:rPr>
          <w:rFonts w:ascii="Times Roman" w:hAnsi="Times Roman"/>
          <w:lang w:val="en-GB"/>
        </w:rPr>
        <w:t>s a</w:t>
      </w:r>
      <w:r w:rsidR="00CB6CFD">
        <w:rPr>
          <w:rFonts w:ascii="Times Roman" w:hAnsi="Times Roman"/>
          <w:lang w:val="en-GB"/>
        </w:rPr>
        <w:t xml:space="preserve"> lettered exhibit at the time</w:t>
      </w:r>
      <w:r w:rsidR="002A7CA1">
        <w:rPr>
          <w:rFonts w:ascii="Times Roman" w:hAnsi="Times Roman"/>
          <w:lang w:val="en-GB"/>
        </w:rPr>
        <w:t>, but ultimately</w:t>
      </w:r>
      <w:r w:rsidR="00D62FC4">
        <w:rPr>
          <w:rFonts w:ascii="Times Roman" w:hAnsi="Times Roman"/>
          <w:lang w:val="en-GB"/>
        </w:rPr>
        <w:t xml:space="preserve"> entered into evidence as Exhibit 56) </w:t>
      </w:r>
      <w:r>
        <w:rPr>
          <w:rFonts w:ascii="Times Roman" w:hAnsi="Times Roman"/>
          <w:lang w:val="en-GB"/>
        </w:rPr>
        <w:t xml:space="preserve">where terminology was changed from </w:t>
      </w:r>
      <w:r w:rsidR="0099234F">
        <w:rPr>
          <w:rFonts w:ascii="Times Roman" w:hAnsi="Times Roman"/>
          <w:lang w:val="en-GB"/>
        </w:rPr>
        <w:t xml:space="preserve">traditional mortgage terms </w:t>
      </w:r>
      <w:r w:rsidR="0099234F">
        <w:rPr>
          <w:rFonts w:ascii="Times Roman" w:hAnsi="Times Roman"/>
          <w:lang w:val="en-GB"/>
        </w:rPr>
        <w:lastRenderedPageBreak/>
        <w:t xml:space="preserve">such as “borrower” and “lender” to “credit facility utilizer” and “credit facility provider”, terms that are </w:t>
      </w:r>
      <w:r w:rsidR="00F02506">
        <w:rPr>
          <w:rFonts w:ascii="Times Roman" w:hAnsi="Times Roman"/>
          <w:lang w:val="en-GB"/>
        </w:rPr>
        <w:t>not industry standard</w:t>
      </w:r>
      <w:r w:rsidR="0099234F">
        <w:rPr>
          <w:rFonts w:ascii="Times Roman" w:hAnsi="Times Roman"/>
          <w:lang w:val="en-GB"/>
        </w:rPr>
        <w:t>, but satisfy the requirements of Sharia law.</w:t>
      </w:r>
      <w:r w:rsidR="0099234F">
        <w:rPr>
          <w:rStyle w:val="FootnoteReference"/>
          <w:rFonts w:ascii="Times Roman" w:hAnsi="Times Roman"/>
          <w:lang w:val="en-GB"/>
        </w:rPr>
        <w:footnoteReference w:id="51"/>
      </w:r>
      <w:r w:rsidR="0099234F">
        <w:rPr>
          <w:rFonts w:ascii="Times Roman" w:hAnsi="Times Roman"/>
          <w:lang w:val="en-GB"/>
        </w:rPr>
        <w:t xml:space="preserve"> </w:t>
      </w:r>
    </w:p>
    <w:p w14:paraId="79219C3A" w14:textId="1F9A84DB" w:rsidR="00B53529" w:rsidRPr="00B53529" w:rsidRDefault="002A7CA1"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Mr. </w:t>
      </w:r>
      <w:r w:rsidR="00F02506">
        <w:rPr>
          <w:rFonts w:ascii="Times Roman" w:hAnsi="Times Roman"/>
          <w:lang w:val="en-GB"/>
        </w:rPr>
        <w:t xml:space="preserve">Kalair testified that </w:t>
      </w:r>
      <w:r>
        <w:rPr>
          <w:rFonts w:ascii="Times Roman" w:hAnsi="Times Roman"/>
          <w:lang w:val="en-GB"/>
        </w:rPr>
        <w:t xml:space="preserve">Lohmueller accepted these changes </w:t>
      </w:r>
      <w:r w:rsidR="0099234F">
        <w:rPr>
          <w:rFonts w:ascii="Times Roman" w:hAnsi="Times Roman"/>
          <w:lang w:val="en-GB"/>
        </w:rPr>
        <w:t>because</w:t>
      </w:r>
      <w:r>
        <w:rPr>
          <w:rFonts w:ascii="Times Roman" w:hAnsi="Times Roman"/>
          <w:lang w:val="en-GB"/>
        </w:rPr>
        <w:t xml:space="preserve"> he understood that</w:t>
      </w:r>
      <w:r w:rsidR="0099234F">
        <w:rPr>
          <w:rFonts w:ascii="Times Roman" w:hAnsi="Times Roman"/>
          <w:lang w:val="en-GB"/>
        </w:rPr>
        <w:t xml:space="preserve"> the relationship was predicated on Sharia law and Sharia compliance</w:t>
      </w:r>
      <w:r w:rsidR="00D62FC4">
        <w:rPr>
          <w:rFonts w:ascii="Times Roman" w:hAnsi="Times Roman"/>
          <w:lang w:val="en-GB"/>
        </w:rPr>
        <w:t>.</w:t>
      </w:r>
      <w:r w:rsidR="00D62FC4">
        <w:rPr>
          <w:rStyle w:val="FootnoteReference"/>
          <w:rFonts w:ascii="Times Roman" w:hAnsi="Times Roman"/>
          <w:lang w:val="en-GB"/>
        </w:rPr>
        <w:footnoteReference w:id="52"/>
      </w:r>
      <w:r w:rsidR="00D62FC4">
        <w:rPr>
          <w:rFonts w:ascii="Times Roman" w:hAnsi="Times Roman"/>
          <w:lang w:val="en-GB"/>
        </w:rPr>
        <w:t xml:space="preserve"> </w:t>
      </w:r>
      <w:r>
        <w:rPr>
          <w:rFonts w:ascii="Times Roman" w:hAnsi="Times Roman"/>
          <w:lang w:val="en-GB"/>
        </w:rPr>
        <w:t xml:space="preserve">Mr. Kalair believed, and had reason to believe, that Mr. Lohmueller would have communicated such things to other Central 1 employees, particularly to those that would be working directly with UM. </w:t>
      </w:r>
      <w:r w:rsidR="0099234F">
        <w:rPr>
          <w:rFonts w:ascii="Times Roman" w:hAnsi="Times Roman"/>
          <w:lang w:val="en-GB"/>
        </w:rPr>
        <w:t xml:space="preserve"> </w:t>
      </w:r>
    </w:p>
    <w:p w14:paraId="35BCE3FE" w14:textId="0724C515" w:rsidR="00B53529" w:rsidRPr="00B53529" w:rsidRDefault="008F5F0B"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Although Ms. Sacco is not to blame</w:t>
      </w:r>
      <w:r w:rsidR="00F02506">
        <w:rPr>
          <w:rFonts w:ascii="Times Roman" w:hAnsi="Times Roman"/>
          <w:lang w:val="en-GB"/>
        </w:rPr>
        <w:t xml:space="preserve"> for the gaping communications failure separating C1 and UM, she is a symptom of that colossal </w:t>
      </w:r>
      <w:r>
        <w:rPr>
          <w:rFonts w:ascii="Times Roman" w:hAnsi="Times Roman"/>
          <w:lang w:val="en-GB"/>
        </w:rPr>
        <w:t xml:space="preserve">miscommunication </w:t>
      </w:r>
      <w:r w:rsidR="00F02506">
        <w:rPr>
          <w:rFonts w:ascii="Times Roman" w:hAnsi="Times Roman"/>
          <w:lang w:val="en-GB"/>
        </w:rPr>
        <w:t xml:space="preserve">which left a yawning chasm between the factual realities understood by Kalair on behalf of UM as contrasted with the factual realities as understood by Sacco on behalf of C1 </w:t>
      </w:r>
      <w:r w:rsidR="00C61F67">
        <w:rPr>
          <w:rFonts w:ascii="Times Roman" w:hAnsi="Times Roman"/>
          <w:lang w:val="en-GB"/>
        </w:rPr>
        <w:t>i</w:t>
      </w:r>
      <w:r w:rsidR="00F02506">
        <w:rPr>
          <w:rFonts w:ascii="Times Roman" w:hAnsi="Times Roman"/>
          <w:lang w:val="en-GB"/>
        </w:rPr>
        <w:t>n the post-Lohmueller era</w:t>
      </w:r>
      <w:r>
        <w:rPr>
          <w:rFonts w:ascii="Times Roman" w:hAnsi="Times Roman"/>
          <w:lang w:val="en-GB"/>
        </w:rPr>
        <w:t xml:space="preserve">. </w:t>
      </w:r>
      <w:r w:rsidR="00F02506">
        <w:rPr>
          <w:rFonts w:ascii="Times Roman" w:hAnsi="Times Roman"/>
          <w:lang w:val="en-GB"/>
        </w:rPr>
        <w:t>Sacco’s</w:t>
      </w:r>
      <w:r w:rsidR="00B53529">
        <w:rPr>
          <w:rFonts w:ascii="Times Roman" w:hAnsi="Times Roman"/>
          <w:lang w:val="en-GB"/>
        </w:rPr>
        <w:t xml:space="preserve"> view of the calculated and purposeful use of language in the contracts was that it “</w:t>
      </w:r>
      <w:r w:rsidR="00B53529" w:rsidRPr="00B53529">
        <w:rPr>
          <w:sz w:val="23"/>
          <w:szCs w:val="23"/>
        </w:rPr>
        <w:t>doesn’t make it, in my opinion, like, a Sharia thing. It’s just using differ</w:t>
      </w:r>
      <w:r w:rsidR="00B53529">
        <w:rPr>
          <w:sz w:val="23"/>
          <w:szCs w:val="23"/>
        </w:rPr>
        <w:t>e</w:t>
      </w:r>
      <w:r w:rsidR="002A7CA1">
        <w:rPr>
          <w:sz w:val="23"/>
          <w:szCs w:val="23"/>
        </w:rPr>
        <w:t xml:space="preserve">nt terminology in the contract”. In her mind, they were </w:t>
      </w:r>
      <w:r w:rsidR="00B53529">
        <w:rPr>
          <w:sz w:val="23"/>
          <w:szCs w:val="23"/>
        </w:rPr>
        <w:t>“just words”.</w:t>
      </w:r>
      <w:r w:rsidR="00B53529">
        <w:rPr>
          <w:rStyle w:val="FootnoteReference"/>
          <w:sz w:val="23"/>
          <w:szCs w:val="23"/>
        </w:rPr>
        <w:footnoteReference w:id="53"/>
      </w:r>
    </w:p>
    <w:p w14:paraId="762F3FF2" w14:textId="077B5D21" w:rsidR="008F5F0B" w:rsidRDefault="008F5F0B"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This unilat</w:t>
      </w:r>
      <w:r w:rsidR="002A7CA1">
        <w:rPr>
          <w:rFonts w:ascii="Times Roman" w:hAnsi="Times Roman"/>
          <w:lang w:val="en-GB"/>
        </w:rPr>
        <w:t>eral change in viewpoint was never</w:t>
      </w:r>
      <w:r>
        <w:rPr>
          <w:rFonts w:ascii="Times Roman" w:hAnsi="Times Roman"/>
          <w:lang w:val="en-GB"/>
        </w:rPr>
        <w:t xml:space="preserve"> communicated to Mr. Kalair.</w:t>
      </w:r>
    </w:p>
    <w:p w14:paraId="22E50F1B" w14:textId="041800C3" w:rsidR="008F5F0B" w:rsidRDefault="002A7CA1"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Years later, </w:t>
      </w:r>
      <w:r w:rsidR="008F5F0B">
        <w:rPr>
          <w:rFonts w:ascii="Times Roman" w:hAnsi="Times Roman"/>
          <w:lang w:val="en-GB"/>
        </w:rPr>
        <w:t xml:space="preserve">Mr. Kalair continued to </w:t>
      </w:r>
      <w:r w:rsidR="00F02506">
        <w:rPr>
          <w:rFonts w:ascii="Times Roman" w:hAnsi="Times Roman"/>
          <w:lang w:val="en-GB"/>
        </w:rPr>
        <w:t>speak</w:t>
      </w:r>
      <w:r w:rsidR="008F5F0B">
        <w:rPr>
          <w:rFonts w:ascii="Times Roman" w:hAnsi="Times Roman"/>
          <w:lang w:val="en-GB"/>
        </w:rPr>
        <w:t xml:space="preserve"> in the l</w:t>
      </w:r>
      <w:r>
        <w:rPr>
          <w:rFonts w:ascii="Times Roman" w:hAnsi="Times Roman"/>
          <w:lang w:val="en-GB"/>
        </w:rPr>
        <w:t xml:space="preserve">anguage of </w:t>
      </w:r>
      <w:r w:rsidR="00F02506">
        <w:rPr>
          <w:rFonts w:ascii="Times Roman" w:hAnsi="Times Roman"/>
          <w:lang w:val="en-GB"/>
        </w:rPr>
        <w:t>s</w:t>
      </w:r>
      <w:r>
        <w:rPr>
          <w:rFonts w:ascii="Times Roman" w:hAnsi="Times Roman"/>
          <w:lang w:val="en-GB"/>
        </w:rPr>
        <w:t xml:space="preserve">haria </w:t>
      </w:r>
      <w:r w:rsidR="00F02506">
        <w:rPr>
          <w:rFonts w:ascii="Times Roman" w:hAnsi="Times Roman"/>
          <w:lang w:val="en-GB"/>
        </w:rPr>
        <w:t>l</w:t>
      </w:r>
      <w:r>
        <w:rPr>
          <w:rFonts w:ascii="Times Roman" w:hAnsi="Times Roman"/>
          <w:lang w:val="en-GB"/>
        </w:rPr>
        <w:t xml:space="preserve">aw, </w:t>
      </w:r>
      <w:r w:rsidR="008F5F0B">
        <w:rPr>
          <w:rFonts w:ascii="Times Roman" w:hAnsi="Times Roman"/>
          <w:lang w:val="en-GB"/>
        </w:rPr>
        <w:t xml:space="preserve">while Ms. Sacco </w:t>
      </w:r>
      <w:r w:rsidR="00F02506">
        <w:rPr>
          <w:rFonts w:ascii="Times Roman" w:hAnsi="Times Roman"/>
          <w:lang w:val="en-GB"/>
        </w:rPr>
        <w:t>spoke</w:t>
      </w:r>
      <w:r w:rsidR="008F5F0B">
        <w:rPr>
          <w:rFonts w:ascii="Times Roman" w:hAnsi="Times Roman"/>
          <w:lang w:val="en-GB"/>
        </w:rPr>
        <w:t xml:space="preserve"> in the language of traditional finance. </w:t>
      </w:r>
      <w:r w:rsidR="00AA5F4D">
        <w:rPr>
          <w:rFonts w:ascii="Times Roman" w:hAnsi="Times Roman"/>
          <w:lang w:val="en-GB"/>
        </w:rPr>
        <w:t>This ‘tower of Babel’ phenomenon is the source of much of the friction in the C1/UM relationship and is critical to understanding and assessing the honesty of Kalair’s belief in the righteousness and lawfulness of his actions.</w:t>
      </w:r>
    </w:p>
    <w:p w14:paraId="180EB818" w14:textId="77777777" w:rsidR="002A7CA1" w:rsidRDefault="002A7CA1" w:rsidP="002A7CA1">
      <w:pPr>
        <w:pStyle w:val="ListParagraph"/>
        <w:shd w:val="clear" w:color="auto" w:fill="FFFFFF"/>
        <w:spacing w:after="120" w:line="360" w:lineRule="auto"/>
        <w:ind w:left="0"/>
        <w:contextualSpacing w:val="0"/>
        <w:jc w:val="both"/>
        <w:rPr>
          <w:rFonts w:ascii="Times Roman" w:hAnsi="Times Roman"/>
          <w:lang w:val="en-GB"/>
        </w:rPr>
      </w:pPr>
    </w:p>
    <w:p w14:paraId="132B7123" w14:textId="27E1DF6E" w:rsidR="00B53529" w:rsidRDefault="00B53529" w:rsidP="00353A9F">
      <w:pPr>
        <w:pStyle w:val="Heading4"/>
        <w:ind w:firstLine="720"/>
        <w:rPr>
          <w:color w:val="auto"/>
          <w:lang w:val="en-GB"/>
        </w:rPr>
      </w:pPr>
      <w:bookmarkStart w:id="17" w:name="_Toc411860394"/>
      <w:r w:rsidRPr="00353A9F">
        <w:rPr>
          <w:color w:val="auto"/>
          <w:lang w:val="en-GB"/>
        </w:rPr>
        <w:t>The Contracts</w:t>
      </w:r>
      <w:bookmarkEnd w:id="17"/>
      <w:r w:rsidRPr="00353A9F">
        <w:rPr>
          <w:color w:val="auto"/>
          <w:lang w:val="en-GB"/>
        </w:rPr>
        <w:t xml:space="preserve"> </w:t>
      </w:r>
    </w:p>
    <w:p w14:paraId="1F454758" w14:textId="77777777" w:rsidR="00AA5F4D" w:rsidRPr="00AA5F4D" w:rsidRDefault="00AA5F4D" w:rsidP="00AA5F4D">
      <w:pPr>
        <w:rPr>
          <w:lang w:val="en-GB"/>
        </w:rPr>
      </w:pPr>
    </w:p>
    <w:p w14:paraId="279ED3AE" w14:textId="63516063" w:rsidR="00B53529" w:rsidRDefault="00B53529"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The relationship between Central 1 and UM was governed by mu</w:t>
      </w:r>
      <w:r w:rsidR="00B86396">
        <w:rPr>
          <w:rFonts w:ascii="Times Roman" w:hAnsi="Times Roman"/>
          <w:lang w:val="en-GB"/>
        </w:rPr>
        <w:t>ltiple contracts including the Master Mortgage Sale and Administration Agreement (MMSAA)</w:t>
      </w:r>
      <w:r w:rsidR="00D62FC4">
        <w:rPr>
          <w:rStyle w:val="FootnoteReference"/>
          <w:rFonts w:ascii="Times Roman" w:hAnsi="Times Roman"/>
          <w:lang w:val="en-GB"/>
        </w:rPr>
        <w:footnoteReference w:id="54"/>
      </w:r>
      <w:r w:rsidR="00D62FC4">
        <w:rPr>
          <w:rFonts w:ascii="Times Roman" w:hAnsi="Times Roman"/>
          <w:lang w:val="en-GB"/>
        </w:rPr>
        <w:t xml:space="preserve"> </w:t>
      </w:r>
      <w:r w:rsidR="00996164">
        <w:rPr>
          <w:rFonts w:ascii="Times Roman" w:hAnsi="Times Roman"/>
          <w:lang w:val="en-GB"/>
        </w:rPr>
        <w:t xml:space="preserve">and the </w:t>
      </w:r>
      <w:r w:rsidR="00996164">
        <w:rPr>
          <w:rFonts w:ascii="Times Roman" w:hAnsi="Times Roman"/>
          <w:lang w:val="en-GB"/>
        </w:rPr>
        <w:lastRenderedPageBreak/>
        <w:t>Master Mortgage Assig</w:t>
      </w:r>
      <w:r w:rsidR="00D62FC4">
        <w:rPr>
          <w:rFonts w:ascii="Times Roman" w:hAnsi="Times Roman"/>
          <w:lang w:val="en-GB"/>
        </w:rPr>
        <w:t>nment Security Agreement (MMASA</w:t>
      </w:r>
      <w:r w:rsidR="002D05F6">
        <w:rPr>
          <w:rFonts w:ascii="Times Roman" w:hAnsi="Times Roman"/>
          <w:lang w:val="en-GB"/>
        </w:rPr>
        <w:t>)</w:t>
      </w:r>
      <w:r>
        <w:rPr>
          <w:rFonts w:ascii="Times Roman" w:hAnsi="Times Roman"/>
          <w:lang w:val="en-GB"/>
        </w:rPr>
        <w:t>.</w:t>
      </w:r>
      <w:r w:rsidR="00D62FC4">
        <w:rPr>
          <w:rStyle w:val="FootnoteReference"/>
          <w:rFonts w:ascii="Times Roman" w:hAnsi="Times Roman"/>
          <w:lang w:val="en-GB"/>
        </w:rPr>
        <w:footnoteReference w:id="55"/>
      </w:r>
      <w:r>
        <w:rPr>
          <w:rFonts w:ascii="Times Roman" w:hAnsi="Times Roman"/>
          <w:lang w:val="en-GB"/>
        </w:rPr>
        <w:t xml:space="preserve"> These contracts </w:t>
      </w:r>
      <w:r w:rsidR="00B86396">
        <w:rPr>
          <w:rFonts w:ascii="Times Roman" w:hAnsi="Times Roman"/>
          <w:lang w:val="en-GB"/>
        </w:rPr>
        <w:t xml:space="preserve">are </w:t>
      </w:r>
      <w:r w:rsidR="00D3215B">
        <w:rPr>
          <w:rFonts w:ascii="Times Roman" w:hAnsi="Times Roman"/>
          <w:lang w:val="en-GB"/>
        </w:rPr>
        <w:t xml:space="preserve">unfailingly </w:t>
      </w:r>
      <w:r w:rsidR="00B86396">
        <w:rPr>
          <w:rFonts w:ascii="Times Roman" w:hAnsi="Times Roman"/>
          <w:lang w:val="en-GB"/>
        </w:rPr>
        <w:t xml:space="preserve">vague and </w:t>
      </w:r>
      <w:r w:rsidR="00353A9F">
        <w:rPr>
          <w:rFonts w:ascii="Times Roman" w:hAnsi="Times Roman"/>
          <w:lang w:val="en-GB"/>
        </w:rPr>
        <w:t xml:space="preserve">their terms </w:t>
      </w:r>
      <w:r>
        <w:rPr>
          <w:rFonts w:ascii="Times Roman" w:hAnsi="Times Roman"/>
          <w:lang w:val="en-GB"/>
        </w:rPr>
        <w:t>can be read and interpreted in different ways</w:t>
      </w:r>
      <w:r w:rsidR="00B86396">
        <w:rPr>
          <w:rFonts w:ascii="Times Roman" w:hAnsi="Times Roman"/>
          <w:lang w:val="en-GB"/>
        </w:rPr>
        <w:t xml:space="preserve">. If viewed as a </w:t>
      </w:r>
      <w:r w:rsidR="0092027F">
        <w:rPr>
          <w:rFonts w:ascii="Times Roman" w:hAnsi="Times Roman"/>
          <w:lang w:val="en-GB"/>
        </w:rPr>
        <w:t>s</w:t>
      </w:r>
      <w:r w:rsidR="00B86396">
        <w:rPr>
          <w:rFonts w:ascii="Times Roman" w:hAnsi="Times Roman"/>
          <w:lang w:val="en-GB"/>
        </w:rPr>
        <w:t xml:space="preserve">haria contract, the terms would </w:t>
      </w:r>
      <w:r w:rsidR="0092027F">
        <w:rPr>
          <w:rFonts w:ascii="Times Roman" w:hAnsi="Times Roman"/>
          <w:lang w:val="en-GB"/>
        </w:rPr>
        <w:t xml:space="preserve">be </w:t>
      </w:r>
      <w:r w:rsidR="00B86396">
        <w:rPr>
          <w:rFonts w:ascii="Times Roman" w:hAnsi="Times Roman"/>
          <w:lang w:val="en-GB"/>
        </w:rPr>
        <w:t xml:space="preserve">read one way, but if viewed as a traditional commercial contract, the terms </w:t>
      </w:r>
      <w:r w:rsidR="0092027F">
        <w:rPr>
          <w:rFonts w:ascii="Times Roman" w:hAnsi="Times Roman"/>
          <w:lang w:val="en-GB"/>
        </w:rPr>
        <w:t>may</w:t>
      </w:r>
      <w:r w:rsidR="00B86396">
        <w:rPr>
          <w:rFonts w:ascii="Times Roman" w:hAnsi="Times Roman"/>
          <w:lang w:val="en-GB"/>
        </w:rPr>
        <w:t xml:space="preserve"> be read in another. </w:t>
      </w:r>
      <w:r w:rsidR="0092027F">
        <w:rPr>
          <w:rFonts w:ascii="Times Roman" w:hAnsi="Times Roman"/>
          <w:lang w:val="en-GB"/>
        </w:rPr>
        <w:t>The differing perspectives of the reader are yet another important factor in assessing the honesty of Mr. Kalair’s conduct. Mr. Kalair cannot be criminally convicted for misinterpreting his contractual rights and obligations.</w:t>
      </w:r>
    </w:p>
    <w:p w14:paraId="53293831" w14:textId="7B6CC785" w:rsidR="00B86396" w:rsidRDefault="00B342C9"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For example, on page seventeen</w:t>
      </w:r>
      <w:r w:rsidR="00930506">
        <w:rPr>
          <w:rFonts w:ascii="Times Roman" w:hAnsi="Times Roman"/>
          <w:lang w:val="en-GB"/>
        </w:rPr>
        <w:t xml:space="preserve"> of the</w:t>
      </w:r>
      <w:r>
        <w:rPr>
          <w:rFonts w:ascii="Times Roman" w:hAnsi="Times Roman"/>
          <w:lang w:val="en-GB"/>
        </w:rPr>
        <w:t xml:space="preserve"> MMSAA, subsection Q reads as follows (emphasis added):</w:t>
      </w:r>
      <w:r>
        <w:rPr>
          <w:rStyle w:val="FootnoteReference"/>
          <w:rFonts w:ascii="Times Roman" w:hAnsi="Times Roman"/>
          <w:lang w:val="en-GB"/>
        </w:rPr>
        <w:footnoteReference w:id="56"/>
      </w:r>
    </w:p>
    <w:p w14:paraId="718A056D" w14:textId="28A97D5D" w:rsidR="00B342C9" w:rsidRPr="00B342C9" w:rsidRDefault="00930506" w:rsidP="00B342C9">
      <w:pPr>
        <w:shd w:val="clear" w:color="auto" w:fill="FFFFFF"/>
        <w:spacing w:after="120" w:line="360" w:lineRule="auto"/>
        <w:ind w:left="720"/>
        <w:jc w:val="both"/>
        <w:rPr>
          <w:rFonts w:ascii="Times Roman" w:hAnsi="Times Roman"/>
          <w:lang w:val="en-GB"/>
        </w:rPr>
      </w:pPr>
      <w:r>
        <w:rPr>
          <w:rFonts w:ascii="Times Roman" w:hAnsi="Times Roman"/>
          <w:lang w:val="en-GB"/>
        </w:rPr>
        <w:t>“</w:t>
      </w:r>
      <w:r w:rsidR="00B342C9">
        <w:rPr>
          <w:rFonts w:ascii="Times Roman" w:hAnsi="Times Roman"/>
          <w:lang w:val="en-GB"/>
        </w:rPr>
        <w:t>Remit to the Assignee (C1) all Collections received or collected by the Assignor (UM) fro</w:t>
      </w:r>
      <w:r w:rsidR="00C61F67">
        <w:rPr>
          <w:rFonts w:ascii="Times Roman" w:hAnsi="Times Roman"/>
          <w:lang w:val="en-GB"/>
        </w:rPr>
        <w:t>m</w:t>
      </w:r>
      <w:r w:rsidR="00B342C9">
        <w:rPr>
          <w:rFonts w:ascii="Times Roman" w:hAnsi="Times Roman"/>
          <w:lang w:val="en-GB"/>
        </w:rPr>
        <w:t xml:space="preserve"> time to time under the Purchased Mortgages on a daily basis by pre-authorized payment from the Collections Trust Account. </w:t>
      </w:r>
      <w:r w:rsidR="00B342C9" w:rsidRPr="00B342C9">
        <w:rPr>
          <w:rFonts w:ascii="Times Roman" w:hAnsi="Times Roman"/>
          <w:u w:val="single"/>
          <w:lang w:val="en-GB"/>
        </w:rPr>
        <w:t xml:space="preserve">The Assignor may deduct, at its option, expenses and </w:t>
      </w:r>
      <w:r w:rsidR="00B342C9">
        <w:rPr>
          <w:rFonts w:ascii="Times Roman" w:hAnsi="Times Roman"/>
          <w:u w:val="single"/>
          <w:lang w:val="en-GB"/>
        </w:rPr>
        <w:t>fees authorize</w:t>
      </w:r>
      <w:r w:rsidR="00B342C9" w:rsidRPr="00B342C9">
        <w:rPr>
          <w:rFonts w:ascii="Times Roman" w:hAnsi="Times Roman"/>
          <w:u w:val="single"/>
          <w:lang w:val="en-GB"/>
        </w:rPr>
        <w:t>d pursuant to this agreement</w:t>
      </w:r>
      <w:r w:rsidR="00B342C9">
        <w:rPr>
          <w:rFonts w:ascii="Times Roman" w:hAnsi="Times Roman"/>
          <w:lang w:val="en-GB"/>
        </w:rPr>
        <w:t xml:space="preserve"> and shall not be required to remit amounts collected for the purposes of paying realty taxes but shall apply those sums in payment of applicable realty taxes</w:t>
      </w:r>
      <w:r>
        <w:rPr>
          <w:rFonts w:ascii="Times Roman" w:hAnsi="Times Roman"/>
          <w:lang w:val="en-GB"/>
        </w:rPr>
        <w:t>”</w:t>
      </w:r>
    </w:p>
    <w:p w14:paraId="780BFC84" w14:textId="7B970EC5" w:rsidR="00996164" w:rsidRDefault="00996164"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The MMASA has similar wording in section</w:t>
      </w:r>
      <w:r w:rsidR="00A36777">
        <w:rPr>
          <w:rFonts w:ascii="Times Roman" w:hAnsi="Times Roman"/>
          <w:lang w:val="en-GB"/>
        </w:rPr>
        <w:t>s</w:t>
      </w:r>
      <w:r>
        <w:rPr>
          <w:rFonts w:ascii="Times Roman" w:hAnsi="Times Roman"/>
          <w:lang w:val="en-GB"/>
        </w:rPr>
        <w:t xml:space="preserve"> 2.1:</w:t>
      </w:r>
      <w:r>
        <w:rPr>
          <w:rStyle w:val="FootnoteReference"/>
          <w:rFonts w:ascii="Times Roman" w:hAnsi="Times Roman"/>
          <w:lang w:val="en-GB"/>
        </w:rPr>
        <w:footnoteReference w:id="57"/>
      </w:r>
    </w:p>
    <w:p w14:paraId="2A035BF6" w14:textId="2B70BBDC" w:rsidR="00996164" w:rsidRPr="00996164" w:rsidRDefault="00996164" w:rsidP="00A36777">
      <w:pPr>
        <w:shd w:val="clear" w:color="auto" w:fill="FFFFFF"/>
        <w:spacing w:after="120" w:line="360" w:lineRule="auto"/>
        <w:ind w:left="720"/>
        <w:jc w:val="both"/>
        <w:rPr>
          <w:rFonts w:ascii="Times Roman" w:hAnsi="Times Roman"/>
          <w:lang w:val="en-GB"/>
        </w:rPr>
      </w:pPr>
      <w:r>
        <w:rPr>
          <w:sz w:val="23"/>
          <w:szCs w:val="23"/>
        </w:rPr>
        <w:t>“Unless specified otherwise, all costs and expenses including, without limitation, the fees and disbursements of legal counsel incurred in connection with the agreement and the transactions contemplated hereby, shall be paid by the party incurring such expenses</w:t>
      </w:r>
      <w:r w:rsidR="00A36777">
        <w:rPr>
          <w:sz w:val="23"/>
          <w:szCs w:val="23"/>
        </w:rPr>
        <w:t>”</w:t>
      </w:r>
    </w:p>
    <w:p w14:paraId="64911CD3" w14:textId="1D17C1C9" w:rsidR="00B342C9" w:rsidRDefault="00B342C9"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It is not clear </w:t>
      </w:r>
      <w:r w:rsidR="00996164">
        <w:rPr>
          <w:rFonts w:ascii="Times Roman" w:hAnsi="Times Roman"/>
          <w:lang w:val="en-GB"/>
        </w:rPr>
        <w:t xml:space="preserve">exactly </w:t>
      </w:r>
      <w:r w:rsidR="00353A9F">
        <w:rPr>
          <w:rFonts w:ascii="Times Roman" w:hAnsi="Times Roman"/>
          <w:lang w:val="en-GB"/>
        </w:rPr>
        <w:t>which</w:t>
      </w:r>
      <w:r>
        <w:rPr>
          <w:rFonts w:ascii="Times Roman" w:hAnsi="Times Roman"/>
          <w:lang w:val="en-GB"/>
        </w:rPr>
        <w:t xml:space="preserve"> expenses are contemplated </w:t>
      </w:r>
      <w:r w:rsidR="00996164">
        <w:rPr>
          <w:rFonts w:ascii="Times Roman" w:hAnsi="Times Roman"/>
          <w:lang w:val="en-GB"/>
        </w:rPr>
        <w:t xml:space="preserve">in </w:t>
      </w:r>
      <w:r w:rsidR="00353A9F">
        <w:rPr>
          <w:rFonts w:ascii="Times Roman" w:hAnsi="Times Roman"/>
          <w:lang w:val="en-GB"/>
        </w:rPr>
        <w:t>these sections</w:t>
      </w:r>
      <w:r w:rsidR="00D72E60">
        <w:rPr>
          <w:rFonts w:ascii="Times Roman" w:hAnsi="Times Roman"/>
          <w:lang w:val="en-GB"/>
        </w:rPr>
        <w:t>, but it is certainly open to interpretation. Someone viewing this contract through the lens of Sharia law would under</w:t>
      </w:r>
      <w:r w:rsidR="00353A9F">
        <w:rPr>
          <w:rFonts w:ascii="Times Roman" w:hAnsi="Times Roman"/>
          <w:lang w:val="en-GB"/>
        </w:rPr>
        <w:t xml:space="preserve">stand this section to mean </w:t>
      </w:r>
      <w:r w:rsidR="00D72E60">
        <w:rPr>
          <w:rFonts w:ascii="Times Roman" w:hAnsi="Times Roman"/>
          <w:lang w:val="en-GB"/>
        </w:rPr>
        <w:t xml:space="preserve">any operating expense incurred by UM, including any cost related to ensuring the company remains Sharia compliant such as payment to the SEB. </w:t>
      </w:r>
    </w:p>
    <w:p w14:paraId="6EE47985" w14:textId="3459DFAF" w:rsidR="00996164" w:rsidRDefault="00996164"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Ms. Sacco ultimately agrees with that </w:t>
      </w:r>
      <w:r w:rsidR="00353A9F">
        <w:rPr>
          <w:rFonts w:ascii="Times Roman" w:hAnsi="Times Roman"/>
          <w:lang w:val="en-GB"/>
        </w:rPr>
        <w:t>suggestion</w:t>
      </w:r>
      <w:r>
        <w:rPr>
          <w:rStyle w:val="FootnoteReference"/>
          <w:rFonts w:ascii="Times Roman" w:hAnsi="Times Roman"/>
          <w:lang w:val="en-GB"/>
        </w:rPr>
        <w:footnoteReference w:id="58"/>
      </w:r>
      <w:r>
        <w:rPr>
          <w:rFonts w:ascii="Times Roman" w:hAnsi="Times Roman"/>
          <w:lang w:val="en-GB"/>
        </w:rPr>
        <w:t>:</w:t>
      </w:r>
    </w:p>
    <w:p w14:paraId="35957AAA" w14:textId="77777777" w:rsidR="00996164" w:rsidRP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lastRenderedPageBreak/>
        <w:t>Q. And I don’t know if you know this, but I’m going to suggest to you that one of the requirements to make this Sharia-compliant, meant that they also had an expense to pay Sharia Scholars. Did you have any knowledge about the Sharia-compliance costs...</w:t>
      </w:r>
    </w:p>
    <w:p w14:paraId="428F8EF8" w14:textId="77777777" w:rsid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t>A. No.</w:t>
      </w:r>
    </w:p>
    <w:p w14:paraId="76E702F7" w14:textId="77777777" w:rsidR="00353A9F" w:rsidRPr="00996164" w:rsidRDefault="00353A9F" w:rsidP="00996164">
      <w:pPr>
        <w:shd w:val="clear" w:color="auto" w:fill="FFFFFF"/>
        <w:spacing w:after="120" w:line="360" w:lineRule="auto"/>
        <w:ind w:left="1440"/>
        <w:jc w:val="both"/>
        <w:rPr>
          <w:rFonts w:ascii="Times Roman" w:hAnsi="Times Roman"/>
          <w:lang w:val="en-GB"/>
        </w:rPr>
      </w:pPr>
    </w:p>
    <w:p w14:paraId="186C9750" w14:textId="77777777" w:rsid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t>Q. ...of this...</w:t>
      </w:r>
    </w:p>
    <w:p w14:paraId="1769C3BE" w14:textId="77777777" w:rsidR="00353A9F" w:rsidRPr="00996164" w:rsidRDefault="00353A9F" w:rsidP="00996164">
      <w:pPr>
        <w:shd w:val="clear" w:color="auto" w:fill="FFFFFF"/>
        <w:spacing w:after="120" w:line="360" w:lineRule="auto"/>
        <w:ind w:left="1440"/>
        <w:jc w:val="both"/>
        <w:rPr>
          <w:rFonts w:ascii="Times Roman" w:hAnsi="Times Roman"/>
          <w:lang w:val="en-GB"/>
        </w:rPr>
      </w:pPr>
    </w:p>
    <w:p w14:paraId="18F59C06" w14:textId="77777777" w:rsid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t>A. None.</w:t>
      </w:r>
    </w:p>
    <w:p w14:paraId="4F871196" w14:textId="77777777" w:rsidR="00353A9F" w:rsidRPr="00996164" w:rsidRDefault="00353A9F" w:rsidP="00996164">
      <w:pPr>
        <w:shd w:val="clear" w:color="auto" w:fill="FFFFFF"/>
        <w:spacing w:after="120" w:line="360" w:lineRule="auto"/>
        <w:ind w:left="1440"/>
        <w:jc w:val="both"/>
        <w:rPr>
          <w:rFonts w:ascii="Times Roman" w:hAnsi="Times Roman"/>
          <w:lang w:val="en-GB"/>
        </w:rPr>
      </w:pPr>
    </w:p>
    <w:p w14:paraId="216F625B" w14:textId="77777777" w:rsid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t>Q. ...project?</w:t>
      </w:r>
    </w:p>
    <w:p w14:paraId="0BBA7EDD" w14:textId="77777777" w:rsidR="00353A9F" w:rsidRPr="00996164" w:rsidRDefault="00353A9F" w:rsidP="00996164">
      <w:pPr>
        <w:shd w:val="clear" w:color="auto" w:fill="FFFFFF"/>
        <w:spacing w:after="120" w:line="360" w:lineRule="auto"/>
        <w:ind w:left="1440"/>
        <w:jc w:val="both"/>
        <w:rPr>
          <w:rFonts w:ascii="Times Roman" w:hAnsi="Times Roman"/>
          <w:lang w:val="en-GB"/>
        </w:rPr>
      </w:pPr>
    </w:p>
    <w:p w14:paraId="491CFE2C" w14:textId="77777777" w:rsid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t>A. No.</w:t>
      </w:r>
    </w:p>
    <w:p w14:paraId="0CA18FD2" w14:textId="77777777" w:rsidR="00353A9F" w:rsidRPr="00996164" w:rsidRDefault="00353A9F" w:rsidP="00996164">
      <w:pPr>
        <w:shd w:val="clear" w:color="auto" w:fill="FFFFFF"/>
        <w:spacing w:after="120" w:line="360" w:lineRule="auto"/>
        <w:ind w:left="1440"/>
        <w:jc w:val="both"/>
        <w:rPr>
          <w:rFonts w:ascii="Times Roman" w:hAnsi="Times Roman"/>
          <w:lang w:val="en-GB"/>
        </w:rPr>
      </w:pPr>
    </w:p>
    <w:p w14:paraId="784FB1E7" w14:textId="77777777" w:rsid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t>Q. Okay. But, if there were such costs, your expectation would have UM has to pay them, correct?</w:t>
      </w:r>
    </w:p>
    <w:p w14:paraId="2D173339" w14:textId="77777777" w:rsidR="00353A9F" w:rsidRPr="00996164" w:rsidRDefault="00353A9F" w:rsidP="00996164">
      <w:pPr>
        <w:shd w:val="clear" w:color="auto" w:fill="FFFFFF"/>
        <w:spacing w:after="120" w:line="360" w:lineRule="auto"/>
        <w:ind w:left="1440"/>
        <w:jc w:val="both"/>
        <w:rPr>
          <w:rFonts w:ascii="Times Roman" w:hAnsi="Times Roman"/>
          <w:lang w:val="en-GB"/>
        </w:rPr>
      </w:pPr>
    </w:p>
    <w:p w14:paraId="2468D58B" w14:textId="77777777" w:rsid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t>A. I would assume so, yes.</w:t>
      </w:r>
    </w:p>
    <w:p w14:paraId="6E14D391" w14:textId="77777777" w:rsidR="00353A9F" w:rsidRPr="00996164" w:rsidRDefault="00353A9F" w:rsidP="00996164">
      <w:pPr>
        <w:shd w:val="clear" w:color="auto" w:fill="FFFFFF"/>
        <w:spacing w:after="120" w:line="360" w:lineRule="auto"/>
        <w:ind w:left="1440"/>
        <w:jc w:val="both"/>
        <w:rPr>
          <w:rFonts w:ascii="Times Roman" w:hAnsi="Times Roman"/>
          <w:lang w:val="en-GB"/>
        </w:rPr>
      </w:pPr>
    </w:p>
    <w:p w14:paraId="64D4FB41" w14:textId="77777777" w:rsid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t>Q. And obviously, those payments are anticipated to come out of the UM’s side of the profits of this arrangement, right?</w:t>
      </w:r>
    </w:p>
    <w:p w14:paraId="300554EB" w14:textId="77777777" w:rsidR="00353A9F" w:rsidRPr="00996164" w:rsidRDefault="00353A9F" w:rsidP="00996164">
      <w:pPr>
        <w:shd w:val="clear" w:color="auto" w:fill="FFFFFF"/>
        <w:spacing w:after="120" w:line="360" w:lineRule="auto"/>
        <w:ind w:left="1440"/>
        <w:jc w:val="both"/>
        <w:rPr>
          <w:rFonts w:ascii="Times Roman" w:hAnsi="Times Roman"/>
          <w:lang w:val="en-GB"/>
        </w:rPr>
      </w:pPr>
    </w:p>
    <w:p w14:paraId="2E0704AC" w14:textId="59B7CA92" w:rsidR="00996164" w:rsidRPr="00996164" w:rsidRDefault="00996164" w:rsidP="00996164">
      <w:pPr>
        <w:shd w:val="clear" w:color="auto" w:fill="FFFFFF"/>
        <w:spacing w:after="120" w:line="360" w:lineRule="auto"/>
        <w:ind w:left="1440"/>
        <w:jc w:val="both"/>
        <w:rPr>
          <w:rFonts w:ascii="Times Roman" w:hAnsi="Times Roman"/>
          <w:lang w:val="en-GB"/>
        </w:rPr>
      </w:pPr>
      <w:r w:rsidRPr="00996164">
        <w:rPr>
          <w:rFonts w:ascii="Times Roman" w:hAnsi="Times Roman"/>
          <w:lang w:val="en-GB"/>
        </w:rPr>
        <w:t>A. I would assume so.</w:t>
      </w:r>
    </w:p>
    <w:p w14:paraId="172F32EE" w14:textId="69A0B430" w:rsidR="00930506" w:rsidRDefault="0093050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lastRenderedPageBreak/>
        <w:t>The MMSAA</w:t>
      </w:r>
      <w:r w:rsidR="00A36777">
        <w:rPr>
          <w:rFonts w:ascii="Times Roman" w:hAnsi="Times Roman"/>
          <w:lang w:val="en-GB"/>
        </w:rPr>
        <w:t xml:space="preserve"> and the MMASA are</w:t>
      </w:r>
      <w:r>
        <w:rPr>
          <w:rFonts w:ascii="Times Roman" w:hAnsi="Times Roman"/>
          <w:lang w:val="en-GB"/>
        </w:rPr>
        <w:t xml:space="preserve"> a</w:t>
      </w:r>
      <w:r w:rsidR="00353A9F">
        <w:rPr>
          <w:rFonts w:ascii="Times Roman" w:hAnsi="Times Roman"/>
          <w:lang w:val="en-GB"/>
        </w:rPr>
        <w:t>gain</w:t>
      </w:r>
      <w:r>
        <w:rPr>
          <w:rFonts w:ascii="Times Roman" w:hAnsi="Times Roman"/>
          <w:lang w:val="en-GB"/>
        </w:rPr>
        <w:t xml:space="preserve"> vague when it comes to how </w:t>
      </w:r>
      <w:r w:rsidR="00A36777">
        <w:rPr>
          <w:rFonts w:ascii="Times Roman" w:hAnsi="Times Roman"/>
          <w:lang w:val="en-GB"/>
        </w:rPr>
        <w:t xml:space="preserve">pre-payments should be managed </w:t>
      </w:r>
      <w:r>
        <w:rPr>
          <w:rFonts w:ascii="Times Roman" w:hAnsi="Times Roman"/>
          <w:lang w:val="en-GB"/>
        </w:rPr>
        <w:t>(emphasis added):</w:t>
      </w:r>
      <w:r>
        <w:rPr>
          <w:rStyle w:val="FootnoteReference"/>
          <w:rFonts w:ascii="Times Roman" w:hAnsi="Times Roman"/>
          <w:lang w:val="en-GB"/>
        </w:rPr>
        <w:footnoteReference w:id="59"/>
      </w:r>
      <w:r>
        <w:rPr>
          <w:rFonts w:ascii="Times Roman" w:hAnsi="Times Roman"/>
          <w:lang w:val="en-GB"/>
        </w:rPr>
        <w:t xml:space="preserve">  </w:t>
      </w:r>
    </w:p>
    <w:p w14:paraId="32654390" w14:textId="1E6C86C7" w:rsidR="00930506" w:rsidRPr="00930506" w:rsidRDefault="00930506" w:rsidP="00930506">
      <w:pPr>
        <w:pStyle w:val="ListParagraph"/>
        <w:shd w:val="clear" w:color="auto" w:fill="FFFFFF"/>
        <w:spacing w:after="120" w:line="360" w:lineRule="auto"/>
        <w:contextualSpacing w:val="0"/>
        <w:jc w:val="both"/>
        <w:rPr>
          <w:sz w:val="23"/>
          <w:szCs w:val="23"/>
        </w:rPr>
      </w:pPr>
      <w:r>
        <w:rPr>
          <w:sz w:val="23"/>
          <w:szCs w:val="23"/>
        </w:rPr>
        <w:t xml:space="preserve">“If a purchased mortgage is prepaid, in whole or in part, </w:t>
      </w:r>
      <w:r w:rsidRPr="00930506">
        <w:rPr>
          <w:sz w:val="23"/>
          <w:szCs w:val="23"/>
          <w:u w:val="single"/>
        </w:rPr>
        <w:t>as a result of sale of the Mortgaged Premises, expropriation, damage of the Mortgaged Premises by fire or other similar cause</w:t>
      </w:r>
      <w:r>
        <w:rPr>
          <w:sz w:val="23"/>
          <w:szCs w:val="23"/>
        </w:rPr>
        <w:t xml:space="preserve">, the Assignor (UM) shall receive any such prepayment, including any penalties provided for in the Mortgage or the Credit and Collection Policy or any loan document underlying the Mortgage, in trust of the Assignee (C1), initially deposit same into the Collections Trust Account, and then forthwith deliver such funds to the Assignee (C1).” </w:t>
      </w:r>
    </w:p>
    <w:p w14:paraId="447B4168" w14:textId="687EB674" w:rsidR="00930506" w:rsidRDefault="0093050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The above language seems to suggest that only in the enumerated circumstances, should prepayments</w:t>
      </w:r>
      <w:r w:rsidR="000E3491">
        <w:rPr>
          <w:rFonts w:ascii="Times Roman" w:hAnsi="Times Roman"/>
          <w:lang w:val="en-GB"/>
        </w:rPr>
        <w:t xml:space="preserve"> be forwarded to C1 and therefore in any circumstance not covered by section 8.7, UM is permitted to keep the prepayments</w:t>
      </w:r>
      <w:r w:rsidR="00353A9F">
        <w:rPr>
          <w:rFonts w:ascii="Times Roman" w:hAnsi="Times Roman"/>
          <w:lang w:val="en-GB"/>
        </w:rPr>
        <w:t>,</w:t>
      </w:r>
      <w:r w:rsidR="000E3491">
        <w:rPr>
          <w:rFonts w:ascii="Times Roman" w:hAnsi="Times Roman"/>
          <w:lang w:val="en-GB"/>
        </w:rPr>
        <w:t xml:space="preserve"> presumably until the mortgage is paid off in full. </w:t>
      </w:r>
    </w:p>
    <w:p w14:paraId="602A649E" w14:textId="5C28D13D" w:rsidR="00B91227" w:rsidRDefault="00B91227"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Even where the sharia interpretation may not be the most plausible explanation, it is respectfully submitted that the Court must consider – taking into account the evidence of Mr. Kalair and the expert opinion of Mr. Thomas – whether there is ambiguity giving rise to an air of reality to Kalair’s claim of colour of right.</w:t>
      </w:r>
    </w:p>
    <w:p w14:paraId="24EFF617" w14:textId="649976CA" w:rsidR="00B91227" w:rsidRDefault="00B91227"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The complex question of the legally correct interpretation of the ambiguous sections in the key documents would have been a central feature of the civil trial on UM’s $50M claim against C1. However</w:t>
      </w:r>
      <w:r w:rsidR="00C61F67">
        <w:rPr>
          <w:rFonts w:ascii="Times Roman" w:hAnsi="Times Roman"/>
          <w:lang w:val="en-GB"/>
        </w:rPr>
        <w:t>, due to</w:t>
      </w:r>
      <w:r>
        <w:rPr>
          <w:rFonts w:ascii="Times Roman" w:hAnsi="Times Roman"/>
          <w:lang w:val="en-GB"/>
        </w:rPr>
        <w:t xml:space="preserve"> C1’s machination with GTL to purchase and abandon that claim as part of the insolvency, those questions will never be answered.</w:t>
      </w:r>
    </w:p>
    <w:p w14:paraId="480A503B" w14:textId="77777777" w:rsidR="00353A9F" w:rsidRDefault="00353A9F" w:rsidP="00353A9F">
      <w:pPr>
        <w:shd w:val="clear" w:color="auto" w:fill="FFFFFF"/>
        <w:spacing w:after="120" w:line="360" w:lineRule="auto"/>
        <w:jc w:val="both"/>
        <w:rPr>
          <w:rFonts w:ascii="Times Roman" w:hAnsi="Times Roman"/>
          <w:lang w:val="en-GB"/>
        </w:rPr>
      </w:pPr>
    </w:p>
    <w:p w14:paraId="458C124F" w14:textId="47207AE6" w:rsidR="00353A9F" w:rsidRDefault="00353A9F" w:rsidP="00353A9F">
      <w:pPr>
        <w:pStyle w:val="Heading4"/>
        <w:ind w:firstLine="720"/>
        <w:rPr>
          <w:color w:val="auto"/>
          <w:lang w:val="en-GB"/>
        </w:rPr>
      </w:pPr>
      <w:bookmarkStart w:id="18" w:name="_Toc411860395"/>
      <w:r w:rsidRPr="00353A9F">
        <w:rPr>
          <w:color w:val="auto"/>
          <w:lang w:val="en-GB"/>
        </w:rPr>
        <w:t>The Demonstrable Loss</w:t>
      </w:r>
      <w:bookmarkEnd w:id="18"/>
    </w:p>
    <w:p w14:paraId="4417B288" w14:textId="77777777" w:rsidR="00B91227" w:rsidRPr="00B91227" w:rsidRDefault="00B91227" w:rsidP="00B91227">
      <w:pPr>
        <w:rPr>
          <w:lang w:val="en-GB"/>
        </w:rPr>
      </w:pPr>
    </w:p>
    <w:p w14:paraId="0FC3331A" w14:textId="77777777" w:rsidR="00C61F67" w:rsidRDefault="00B8639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Ms. Sacco was unable to quantify</w:t>
      </w:r>
      <w:r w:rsidR="00353A9F">
        <w:rPr>
          <w:rFonts w:ascii="Times Roman" w:hAnsi="Times Roman"/>
          <w:lang w:val="en-GB"/>
        </w:rPr>
        <w:t xml:space="preserve"> the loss to Central 1.  T</w:t>
      </w:r>
      <w:r>
        <w:rPr>
          <w:rFonts w:ascii="Times Roman" w:hAnsi="Times Roman"/>
          <w:lang w:val="en-GB"/>
        </w:rPr>
        <w:t xml:space="preserve">he calculation is complicated by her admission that Central 1 is still realizing on profits today as they continue to receive monthly mortgage payments and lump sum payments from </w:t>
      </w:r>
      <w:r w:rsidR="00B91227">
        <w:rPr>
          <w:rFonts w:ascii="Times Roman" w:hAnsi="Times Roman"/>
          <w:lang w:val="en-GB"/>
        </w:rPr>
        <w:t xml:space="preserve">a small </w:t>
      </w:r>
      <w:r w:rsidR="00B91227">
        <w:rPr>
          <w:rFonts w:ascii="Times Roman" w:hAnsi="Times Roman"/>
          <w:lang w:val="en-GB"/>
        </w:rPr>
        <w:lastRenderedPageBreak/>
        <w:t>number o</w:t>
      </w:r>
      <w:r>
        <w:rPr>
          <w:rFonts w:ascii="Times Roman" w:hAnsi="Times Roman"/>
          <w:lang w:val="en-GB"/>
        </w:rPr>
        <w:t>f the UM homeowners</w:t>
      </w:r>
      <w:r w:rsidR="00B91227">
        <w:rPr>
          <w:rFonts w:ascii="Times Roman" w:hAnsi="Times Roman"/>
          <w:lang w:val="en-GB"/>
        </w:rPr>
        <w:t xml:space="preserve"> who remained C1 clients after the receivership</w:t>
      </w:r>
      <w:r>
        <w:rPr>
          <w:rFonts w:ascii="Times Roman" w:hAnsi="Times Roman"/>
          <w:lang w:val="en-GB"/>
        </w:rPr>
        <w:t>.</w:t>
      </w:r>
      <w:r>
        <w:rPr>
          <w:rStyle w:val="FootnoteReference"/>
          <w:rFonts w:ascii="Times Roman" w:hAnsi="Times Roman"/>
          <w:lang w:val="en-GB"/>
        </w:rPr>
        <w:footnoteReference w:id="60"/>
      </w:r>
      <w:r w:rsidR="00B91227">
        <w:rPr>
          <w:rFonts w:ascii="Times Roman" w:hAnsi="Times Roman"/>
          <w:lang w:val="en-GB"/>
        </w:rPr>
        <w:t xml:space="preserve"> These clients elected to accept a traditional non-sharia compliant financing and accepted the payment of interest at the rate specified in the contracts.</w:t>
      </w:r>
    </w:p>
    <w:p w14:paraId="79E42F0D" w14:textId="65158DFF" w:rsidR="00B86396" w:rsidRDefault="00C61F67"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To sustain a conviction for fraud or theft, the Crown need not prove a specific quantum but can rely on the mere creation of a risk of deprivation. However, that risk cannot be something contemplated and agreed to by the parties to the venture if it is to be the basis of a criminal charge. A joint venture or partnership that subjects one partner to a risk of loss (or actual loss) is not a crime – it’s simply a bad investment. That is precisely the unfortunate result of C1’s abrupt withdrawal from the mudarabah partnership at time when, taking into account expenses of the venture, there were insufficient profits to cover liabilities.</w:t>
      </w:r>
    </w:p>
    <w:p w14:paraId="06F56368" w14:textId="11B16185" w:rsidR="00C61F67" w:rsidRDefault="00C61F67"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With respect to the homeowners, there as no lost in actuality nor any risk of loss. Payments by homeowners to UM were recorded, accounted for, and credited by GTL using the very documents provided by UM in answer to the receivership Order. </w:t>
      </w:r>
      <w:r w:rsidR="004C10BF">
        <w:rPr>
          <w:rFonts w:ascii="Times Roman" w:hAnsi="Times Roman"/>
          <w:lang w:val="en-GB"/>
        </w:rPr>
        <w:t>The shortfall caused by UM’s needs to cover such things as legal expenses the payment to the SEB at the dissolution of the mudarabah never threaten the assets of the homeowners. They are, in accordance with sharia law and the original contracts, a debt of the mudarabah to be dealt with between UM and its funding partner, C1.</w:t>
      </w:r>
    </w:p>
    <w:p w14:paraId="3C4EAD95" w14:textId="77777777" w:rsidR="00B2584F" w:rsidRDefault="00B2584F" w:rsidP="00B2584F">
      <w:pPr>
        <w:pStyle w:val="ListParagraph"/>
        <w:shd w:val="clear" w:color="auto" w:fill="FFFFFF"/>
        <w:spacing w:after="120" w:line="360" w:lineRule="auto"/>
        <w:ind w:left="0"/>
        <w:contextualSpacing w:val="0"/>
        <w:jc w:val="both"/>
        <w:rPr>
          <w:rFonts w:ascii="Times Roman" w:hAnsi="Times Roman"/>
          <w:lang w:val="en-GB"/>
        </w:rPr>
      </w:pPr>
    </w:p>
    <w:p w14:paraId="54866EC5" w14:textId="0064F66F" w:rsidR="00B2584F" w:rsidRPr="00B2584F" w:rsidRDefault="00B2584F" w:rsidP="00B2584F">
      <w:pPr>
        <w:pStyle w:val="Heading3"/>
        <w:ind w:firstLine="720"/>
        <w:rPr>
          <w:color w:val="auto"/>
          <w:lang w:val="en-GB"/>
        </w:rPr>
      </w:pPr>
      <w:bookmarkStart w:id="19" w:name="_Toc411860396"/>
      <w:r w:rsidRPr="00B2584F">
        <w:rPr>
          <w:color w:val="auto"/>
          <w:lang w:val="en-GB"/>
        </w:rPr>
        <w:t>ii. Evidence of the Homeowners</w:t>
      </w:r>
      <w:bookmarkEnd w:id="19"/>
    </w:p>
    <w:p w14:paraId="0D512BF2" w14:textId="473F1C0D" w:rsidR="00873D90" w:rsidRPr="00873D90" w:rsidRDefault="00873D90"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The homeowners are comprised of religiously devout Muslims who were relying on UM and Mr. Kalair to ensure that their mortgages were Sharia compliant and that the Sharia compliant components of the</w:t>
      </w:r>
      <w:r w:rsidR="00353A9F">
        <w:rPr>
          <w:rFonts w:ascii="Times Roman" w:hAnsi="Times Roman"/>
          <w:lang w:val="en-GB"/>
        </w:rPr>
        <w:t>ir</w:t>
      </w:r>
      <w:r>
        <w:rPr>
          <w:rFonts w:ascii="Times Roman" w:hAnsi="Times Roman"/>
          <w:lang w:val="en-GB"/>
        </w:rPr>
        <w:t xml:space="preserve"> contracts remained in good force and effect. </w:t>
      </w:r>
      <w:r w:rsidR="006B6E14">
        <w:rPr>
          <w:rFonts w:ascii="Times Roman" w:hAnsi="Times Roman"/>
          <w:lang w:val="en-GB"/>
        </w:rPr>
        <w:t xml:space="preserve">The homeowner evidence, although not </w:t>
      </w:r>
      <w:r w:rsidR="00B91227">
        <w:rPr>
          <w:rFonts w:ascii="Times Roman" w:hAnsi="Times Roman"/>
          <w:lang w:val="en-GB"/>
        </w:rPr>
        <w:t xml:space="preserve">directly </w:t>
      </w:r>
      <w:r w:rsidR="006B6E14">
        <w:rPr>
          <w:rFonts w:ascii="Times Roman" w:hAnsi="Times Roman"/>
          <w:lang w:val="en-GB"/>
        </w:rPr>
        <w:t xml:space="preserve">probative of the issues in this trial, is very helpful in understanding the relationship between UM and Central 1. </w:t>
      </w:r>
    </w:p>
    <w:p w14:paraId="4815B87C" w14:textId="1364BAE7" w:rsidR="00183133" w:rsidRDefault="00B2584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The Court heard evidence from fo</w:t>
      </w:r>
      <w:r w:rsidR="00353A9F">
        <w:rPr>
          <w:rFonts w:ascii="Times Roman" w:hAnsi="Times Roman"/>
          <w:lang w:val="en-GB"/>
        </w:rPr>
        <w:t>ur different homeowners</w:t>
      </w:r>
      <w:r>
        <w:rPr>
          <w:rFonts w:ascii="Times Roman" w:hAnsi="Times Roman"/>
          <w:lang w:val="en-GB"/>
        </w:rPr>
        <w:t xml:space="preserve">. Of those four homeowners, three of them advised that they did not lose any money. </w:t>
      </w:r>
      <w:r w:rsidR="00183133">
        <w:rPr>
          <w:rFonts w:ascii="Times Roman" w:hAnsi="Times Roman"/>
          <w:lang w:val="en-GB"/>
        </w:rPr>
        <w:t xml:space="preserve">In </w:t>
      </w:r>
      <w:r w:rsidR="00353A9F">
        <w:rPr>
          <w:rFonts w:ascii="Times Roman" w:hAnsi="Times Roman"/>
          <w:lang w:val="en-GB"/>
        </w:rPr>
        <w:t xml:space="preserve">fact, we know </w:t>
      </w:r>
      <w:r w:rsidR="00353A9F">
        <w:rPr>
          <w:rFonts w:ascii="Times Roman" w:hAnsi="Times Roman"/>
          <w:lang w:val="en-GB"/>
        </w:rPr>
        <w:lastRenderedPageBreak/>
        <w:t>that no homeowner</w:t>
      </w:r>
      <w:r w:rsidR="00183133">
        <w:rPr>
          <w:rFonts w:ascii="Times Roman" w:hAnsi="Times Roman"/>
          <w:lang w:val="en-GB"/>
        </w:rPr>
        <w:t xml:space="preserve"> lost any of the money</w:t>
      </w:r>
      <w:r w:rsidR="00353A9F">
        <w:rPr>
          <w:rFonts w:ascii="Times Roman" w:hAnsi="Times Roman"/>
          <w:lang w:val="en-GB"/>
        </w:rPr>
        <w:t>, as they were reimbursed for any demonstrable paym</w:t>
      </w:r>
      <w:r w:rsidR="00D62FC4">
        <w:rPr>
          <w:rFonts w:ascii="Times Roman" w:hAnsi="Times Roman"/>
          <w:lang w:val="en-GB"/>
        </w:rPr>
        <w:t>ent made towards their mortgage.</w:t>
      </w:r>
      <w:r w:rsidR="00D62FC4">
        <w:rPr>
          <w:rStyle w:val="FootnoteReference"/>
          <w:rFonts w:ascii="Times Roman" w:hAnsi="Times Roman"/>
          <w:lang w:val="en-GB"/>
        </w:rPr>
        <w:footnoteReference w:id="61"/>
      </w:r>
    </w:p>
    <w:p w14:paraId="3B41CC85" w14:textId="0D1A5038" w:rsidR="00873D90" w:rsidRDefault="00B2584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Mr. Abdul-Hamid</w:t>
      </w:r>
      <w:r w:rsidR="00183133">
        <w:rPr>
          <w:rFonts w:ascii="Times Roman" w:hAnsi="Times Roman"/>
          <w:lang w:val="en-GB"/>
        </w:rPr>
        <w:t xml:space="preserve"> </w:t>
      </w:r>
      <w:r w:rsidR="00B91227">
        <w:rPr>
          <w:rFonts w:ascii="Times Roman" w:hAnsi="Times Roman"/>
          <w:lang w:val="en-GB"/>
        </w:rPr>
        <w:t>was the only homeowner to claim a loss</w:t>
      </w:r>
      <w:r>
        <w:rPr>
          <w:rFonts w:ascii="Times Roman" w:hAnsi="Times Roman"/>
          <w:lang w:val="en-GB"/>
        </w:rPr>
        <w:t>. However, contrary to the Crown’s contention</w:t>
      </w:r>
      <w:r w:rsidR="00873D90">
        <w:rPr>
          <w:rFonts w:ascii="Times Roman" w:hAnsi="Times Roman"/>
          <w:lang w:val="en-GB"/>
        </w:rPr>
        <w:t xml:space="preserve"> that the</w:t>
      </w:r>
      <w:r>
        <w:rPr>
          <w:rFonts w:ascii="Times Roman" w:hAnsi="Times Roman"/>
          <w:lang w:val="en-GB"/>
        </w:rPr>
        <w:t xml:space="preserve"> loss was as a result of his reliance on the </w:t>
      </w:r>
      <w:r w:rsidR="00873D90">
        <w:rPr>
          <w:rFonts w:ascii="Times Roman" w:hAnsi="Times Roman"/>
          <w:lang w:val="en-GB"/>
        </w:rPr>
        <w:t>materials received from the mystery email address, Mr. Abdul-Hamid</w:t>
      </w:r>
      <w:r w:rsidR="00B91227">
        <w:rPr>
          <w:rFonts w:ascii="Times Roman" w:hAnsi="Times Roman"/>
          <w:lang w:val="en-GB"/>
        </w:rPr>
        <w:t xml:space="preserve">’s evidence reveals that his loss arose out of a </w:t>
      </w:r>
      <w:r w:rsidR="00873D90">
        <w:rPr>
          <w:rFonts w:ascii="Times Roman" w:hAnsi="Times Roman"/>
          <w:lang w:val="en-GB"/>
        </w:rPr>
        <w:t xml:space="preserve">legal battle that cost him </w:t>
      </w:r>
      <w:r w:rsidR="00353A9F">
        <w:rPr>
          <w:rFonts w:ascii="Times Roman" w:hAnsi="Times Roman"/>
          <w:lang w:val="en-GB"/>
        </w:rPr>
        <w:t xml:space="preserve">hundreds of </w:t>
      </w:r>
      <w:r w:rsidR="00873D90">
        <w:rPr>
          <w:rFonts w:ascii="Times Roman" w:hAnsi="Times Roman"/>
          <w:lang w:val="en-GB"/>
        </w:rPr>
        <w:t>thousands</w:t>
      </w:r>
      <w:r w:rsidR="004C10BF">
        <w:rPr>
          <w:rFonts w:ascii="Times Roman" w:hAnsi="Times Roman"/>
          <w:lang w:val="en-GB"/>
        </w:rPr>
        <w:t xml:space="preserve"> of dollars</w:t>
      </w:r>
      <w:r w:rsidR="00873D90">
        <w:rPr>
          <w:rFonts w:ascii="Times Roman" w:hAnsi="Times Roman"/>
          <w:lang w:val="en-GB"/>
        </w:rPr>
        <w:t xml:space="preserve">. </w:t>
      </w:r>
      <w:r w:rsidR="005238E5">
        <w:rPr>
          <w:rFonts w:ascii="Times Roman" w:hAnsi="Times Roman"/>
          <w:lang w:val="en-GB"/>
        </w:rPr>
        <w:t>Abdul-Hamid fought that battle for precisely the same reasons that Kalair fought C1 for so long during the receivership – both were working to preserve the critical centrality of sharia compliance within the failing mortgage agreement.</w:t>
      </w:r>
    </w:p>
    <w:p w14:paraId="3F5B3D8D" w14:textId="02D91037" w:rsidR="00B2584F" w:rsidRDefault="00873D90"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When UM went into receivership, the homeowners made independent</w:t>
      </w:r>
      <w:r w:rsidR="00353A9F">
        <w:rPr>
          <w:rFonts w:ascii="Times Roman" w:hAnsi="Times Roman"/>
          <w:lang w:val="en-GB"/>
        </w:rPr>
        <w:t xml:space="preserve"> decisions about</w:t>
      </w:r>
      <w:r>
        <w:rPr>
          <w:rFonts w:ascii="Times Roman" w:hAnsi="Times Roman"/>
          <w:lang w:val="en-GB"/>
        </w:rPr>
        <w:t xml:space="preserve"> how they would proceed. Some </w:t>
      </w:r>
      <w:r w:rsidR="00353A9F">
        <w:rPr>
          <w:rFonts w:ascii="Times Roman" w:hAnsi="Times Roman"/>
          <w:lang w:val="en-GB"/>
        </w:rPr>
        <w:t xml:space="preserve">homeowners </w:t>
      </w:r>
      <w:r>
        <w:rPr>
          <w:rFonts w:ascii="Times Roman" w:hAnsi="Times Roman"/>
          <w:lang w:val="en-GB"/>
        </w:rPr>
        <w:t xml:space="preserve">paid out their mortgages completely, others, who would have preferred that their mortgages remained Sharia compliant, dealt with non-Sharia compliant financers and the remaining few, such as Mr. Abdul-Hamid stood their ground and paid the price. </w:t>
      </w:r>
    </w:p>
    <w:p w14:paraId="7B2FC996" w14:textId="57A8277E" w:rsidR="00B42783" w:rsidRDefault="00B42783"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Many homeowners were angered by Central 1’s decision to push UM into receivership. A dissident homeowner group was formed and </w:t>
      </w:r>
      <w:r w:rsidR="00353A9F">
        <w:rPr>
          <w:rFonts w:ascii="Times Roman" w:hAnsi="Times Roman"/>
          <w:lang w:val="en-GB"/>
        </w:rPr>
        <w:t>would host</w:t>
      </w:r>
      <w:r>
        <w:rPr>
          <w:rFonts w:ascii="Times Roman" w:hAnsi="Times Roman"/>
          <w:lang w:val="en-GB"/>
        </w:rPr>
        <w:t xml:space="preserve"> meetings to discuss a plan of action. </w:t>
      </w:r>
      <w:r w:rsidR="006B6E14">
        <w:rPr>
          <w:rFonts w:ascii="Times Roman" w:hAnsi="Times Roman"/>
          <w:lang w:val="en-GB"/>
        </w:rPr>
        <w:t xml:space="preserve">Mr. Khattab actually attended some of those meetings. </w:t>
      </w:r>
      <w:r w:rsidRPr="00B42783">
        <w:rPr>
          <w:rFonts w:ascii="Times Roman" w:hAnsi="Times Roman"/>
          <w:lang w:val="en-GB"/>
        </w:rPr>
        <w:t xml:space="preserve">Not only were these homeowners attempting to complain to Ms. Sacco directly, they resorted to retaining legal counsel who sent a letter to Ms. Sacco </w:t>
      </w:r>
      <w:r w:rsidR="00AD1814">
        <w:rPr>
          <w:rFonts w:ascii="Times Roman" w:hAnsi="Times Roman"/>
          <w:lang w:val="en-GB"/>
        </w:rPr>
        <w:t>threatening a class action</w:t>
      </w:r>
      <w:r>
        <w:rPr>
          <w:rStyle w:val="FootnoteReference"/>
          <w:rFonts w:ascii="Times Roman" w:hAnsi="Times Roman"/>
          <w:lang w:val="en-GB"/>
        </w:rPr>
        <w:footnoteReference w:id="62"/>
      </w:r>
      <w:r w:rsidRPr="00B42783">
        <w:rPr>
          <w:rFonts w:ascii="Times Roman" w:hAnsi="Times Roman"/>
          <w:lang w:val="en-GB"/>
        </w:rPr>
        <w:t>:</w:t>
      </w:r>
      <w:r w:rsidR="00DF07BF">
        <w:rPr>
          <w:rFonts w:ascii="Times Roman" w:hAnsi="Times Roman"/>
          <w:lang w:val="en-GB"/>
        </w:rPr>
        <w:t xml:space="preserve"> </w:t>
      </w:r>
    </w:p>
    <w:p w14:paraId="20CB4233" w14:textId="01BE2AED" w:rsidR="00353A9F" w:rsidRPr="00353A9F" w:rsidRDefault="00AD1814" w:rsidP="00AD1814">
      <w:pPr>
        <w:pStyle w:val="ListParagraph"/>
        <w:shd w:val="clear" w:color="auto" w:fill="FFFFFF"/>
        <w:spacing w:after="120" w:line="360" w:lineRule="auto"/>
        <w:contextualSpacing w:val="0"/>
        <w:jc w:val="both"/>
        <w:rPr>
          <w:rFonts w:ascii="Times Roman" w:hAnsi="Times Roman"/>
          <w:lang w:val="en-GB"/>
        </w:rPr>
      </w:pPr>
      <w:r>
        <w:rPr>
          <w:rFonts w:ascii="Times Roman" w:hAnsi="Times Roman"/>
          <w:lang w:val="en-GB"/>
        </w:rPr>
        <w:t>“Our clients’ grievances stem from information available to them that Central 1 Credit Union and UM Financials Inc. are contemplating discontinuing the structured Shar</w:t>
      </w:r>
      <w:r w:rsidR="005238E5">
        <w:rPr>
          <w:rFonts w:ascii="Times Roman" w:hAnsi="Times Roman"/>
          <w:lang w:val="en-GB"/>
        </w:rPr>
        <w:t>i</w:t>
      </w:r>
      <w:r>
        <w:rPr>
          <w:rFonts w:ascii="Times Roman" w:hAnsi="Times Roman"/>
          <w:lang w:val="en-GB"/>
        </w:rPr>
        <w:t>a</w:t>
      </w:r>
      <w:r w:rsidR="00C355AC">
        <w:rPr>
          <w:rFonts w:ascii="Times Roman" w:hAnsi="Times Roman"/>
          <w:lang w:val="en-GB"/>
        </w:rPr>
        <w:t xml:space="preserve"> compliant financing scheme und</w:t>
      </w:r>
      <w:r>
        <w:rPr>
          <w:rFonts w:ascii="Times Roman" w:hAnsi="Times Roman"/>
          <w:lang w:val="en-GB"/>
        </w:rPr>
        <w:t>er which scheme they got financing for the purch</w:t>
      </w:r>
      <w:r w:rsidR="00C355AC">
        <w:rPr>
          <w:rFonts w:ascii="Times Roman" w:hAnsi="Times Roman"/>
          <w:lang w:val="en-GB"/>
        </w:rPr>
        <w:t>ase of their homes…should Central 1 Credit Union and or UM Financial Inc. discontinue the Sharia compliant financing scheme our clients will be faced with the following issues</w:t>
      </w:r>
      <w:r w:rsidR="003B782D">
        <w:rPr>
          <w:rFonts w:ascii="Times Roman" w:hAnsi="Times Roman"/>
          <w:lang w:val="en-GB"/>
        </w:rPr>
        <w:t>.</w:t>
      </w:r>
      <w:r w:rsidR="00C355AC">
        <w:rPr>
          <w:rFonts w:ascii="Times Roman" w:hAnsi="Times Roman"/>
          <w:lang w:val="en-GB"/>
        </w:rPr>
        <w:t>..”</w:t>
      </w:r>
    </w:p>
    <w:p w14:paraId="529238F5" w14:textId="60671DF6" w:rsidR="00B42783" w:rsidRPr="003B782D" w:rsidRDefault="00BF2CB5"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3B782D">
        <w:rPr>
          <w:rFonts w:ascii="Times Roman" w:hAnsi="Times Roman"/>
          <w:lang w:val="en-GB"/>
        </w:rPr>
        <w:lastRenderedPageBreak/>
        <w:t>Each homeowner was aw</w:t>
      </w:r>
      <w:r w:rsidR="003B782D" w:rsidRPr="003B782D">
        <w:rPr>
          <w:rFonts w:ascii="Times Roman" w:hAnsi="Times Roman"/>
          <w:lang w:val="en-GB"/>
        </w:rPr>
        <w:t>are of the SEB and the role it</w:t>
      </w:r>
      <w:r w:rsidRPr="003B782D">
        <w:rPr>
          <w:rFonts w:ascii="Times Roman" w:hAnsi="Times Roman"/>
          <w:lang w:val="en-GB"/>
        </w:rPr>
        <w:t xml:space="preserve"> played in ensuring Sharia compliance.  It is </w:t>
      </w:r>
      <w:r w:rsidRPr="003B782D">
        <w:rPr>
          <w:rFonts w:ascii="Times Roman" w:hAnsi="Times Roman"/>
        </w:rPr>
        <w:t xml:space="preserve">contrary to all the evidence to suggest that the SEB was not relied upon for their knowledge and guidance in structuring and administering the contracts in accordance with Sharia law. </w:t>
      </w:r>
      <w:r w:rsidRPr="003B782D">
        <w:rPr>
          <w:rFonts w:ascii="Times Roman" w:hAnsi="Times Roman"/>
          <w:lang w:val="en-GB"/>
        </w:rPr>
        <w:t>Mr. Abdul-Hamid testified that the SEB</w:t>
      </w:r>
      <w:r w:rsidR="003B782D">
        <w:rPr>
          <w:rFonts w:ascii="Times Roman" w:hAnsi="Times Roman"/>
          <w:lang w:val="en-GB"/>
        </w:rPr>
        <w:t xml:space="preserve"> members were under-qualified</w:t>
      </w:r>
      <w:r w:rsidR="005238E5">
        <w:rPr>
          <w:rFonts w:ascii="Times Roman" w:hAnsi="Times Roman"/>
          <w:lang w:val="en-GB"/>
        </w:rPr>
        <w:t xml:space="preserve"> citing an e-mail from Mr. Kalair in which the SEB was d</w:t>
      </w:r>
      <w:r w:rsidR="00D62FC4">
        <w:rPr>
          <w:rFonts w:ascii="Times Roman" w:hAnsi="Times Roman"/>
          <w:lang w:val="en-GB"/>
        </w:rPr>
        <w:t>escribed as “just local imams”.</w:t>
      </w:r>
      <w:r w:rsidR="00D62FC4">
        <w:rPr>
          <w:rStyle w:val="FootnoteReference"/>
          <w:rFonts w:ascii="Times Roman" w:hAnsi="Times Roman"/>
          <w:lang w:val="en-GB"/>
        </w:rPr>
        <w:footnoteReference w:id="63"/>
      </w:r>
      <w:r w:rsidR="00D62FC4">
        <w:rPr>
          <w:rFonts w:ascii="Times Roman" w:hAnsi="Times Roman"/>
          <w:lang w:val="en-GB"/>
        </w:rPr>
        <w:t xml:space="preserve"> </w:t>
      </w:r>
      <w:r w:rsidR="005238E5">
        <w:rPr>
          <w:rFonts w:ascii="Times Roman" w:hAnsi="Times Roman"/>
          <w:lang w:val="en-GB"/>
        </w:rPr>
        <w:t xml:space="preserve">The Crown seeks to distort this comment to suggest that Kalair was conceding the lack of expertise of his own SEB and therefore demonstrating proof of dishonesty. A fair reading of the e-mail and Abdul-Hamid’s testimony indicates that Abdul-Hamid was seeking a sharia expert who could testify in a Canadian courtroom to bolster his law suit. By that point in time, an insolvency court had already rejected the proffered intervention of Mr. Panchbaya on behalf of the SEB. Kalair knew that what Abdul-Hamid needed was not a religious expert such as Mr. Panchbaya or any of the SEB scholars, but rather a business and academic expert skilled in Islamic Finance such as Abdulkader Thomas. The scholars of the SEB, even Mufti Panchbaya, did not fit that bill. </w:t>
      </w:r>
    </w:p>
    <w:p w14:paraId="1E650D3C" w14:textId="77777777" w:rsidR="005222F3" w:rsidRDefault="005222F3" w:rsidP="005222F3">
      <w:pPr>
        <w:pStyle w:val="ListParagraph"/>
        <w:shd w:val="clear" w:color="auto" w:fill="FFFFFF"/>
        <w:spacing w:after="120" w:line="360" w:lineRule="auto"/>
        <w:ind w:left="0"/>
        <w:contextualSpacing w:val="0"/>
        <w:jc w:val="both"/>
        <w:rPr>
          <w:rFonts w:ascii="Times Roman" w:hAnsi="Times Roman"/>
          <w:lang w:val="en-GB"/>
        </w:rPr>
      </w:pPr>
    </w:p>
    <w:p w14:paraId="43836952" w14:textId="66955151" w:rsidR="005222F3" w:rsidRPr="005222F3" w:rsidRDefault="005222F3" w:rsidP="005222F3">
      <w:pPr>
        <w:pStyle w:val="Heading3"/>
        <w:ind w:firstLine="720"/>
        <w:rPr>
          <w:color w:val="auto"/>
          <w:lang w:val="en-GB"/>
        </w:rPr>
      </w:pPr>
      <w:bookmarkStart w:id="20" w:name="_Toc411860397"/>
      <w:r w:rsidRPr="005222F3">
        <w:rPr>
          <w:color w:val="auto"/>
          <w:lang w:val="en-GB"/>
        </w:rPr>
        <w:t>iii. Evidence of Mark Thompson</w:t>
      </w:r>
      <w:r w:rsidR="0091337F">
        <w:rPr>
          <w:color w:val="auto"/>
          <w:lang w:val="en-GB"/>
        </w:rPr>
        <w:t xml:space="preserve"> </w:t>
      </w:r>
      <w:r w:rsidR="005238E5">
        <w:rPr>
          <w:color w:val="auto"/>
          <w:lang w:val="en-GB"/>
        </w:rPr>
        <w:t>(</w:t>
      </w:r>
      <w:r w:rsidR="0091337F">
        <w:rPr>
          <w:color w:val="auto"/>
          <w:lang w:val="en-GB"/>
        </w:rPr>
        <w:t>Grant Thornton</w:t>
      </w:r>
      <w:r w:rsidR="005238E5">
        <w:rPr>
          <w:color w:val="auto"/>
          <w:lang w:val="en-GB"/>
        </w:rPr>
        <w:t xml:space="preserve"> Limited -</w:t>
      </w:r>
      <w:r w:rsidR="0091337F">
        <w:rPr>
          <w:color w:val="auto"/>
          <w:lang w:val="en-GB"/>
        </w:rPr>
        <w:t xml:space="preserve"> Receiver)</w:t>
      </w:r>
      <w:bookmarkEnd w:id="20"/>
    </w:p>
    <w:p w14:paraId="58A85373" w14:textId="49A6E11A" w:rsidR="00176313" w:rsidRDefault="005238E5"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From the very first moments of cross-examination, Mr. Thompson on behalf of GTL proved himself to be short-tempered, angry and needlessly confrontational.</w:t>
      </w:r>
    </w:p>
    <w:p w14:paraId="1172582E" w14:textId="5237FEE0" w:rsidR="00CE5E9F" w:rsidRDefault="00176313"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His attitude</w:t>
      </w:r>
      <w:r w:rsidR="005238E5">
        <w:rPr>
          <w:rFonts w:ascii="Times Roman" w:hAnsi="Times Roman"/>
          <w:lang w:val="en-GB"/>
        </w:rPr>
        <w:t>,</w:t>
      </w:r>
      <w:r>
        <w:rPr>
          <w:rFonts w:ascii="Times Roman" w:hAnsi="Times Roman"/>
          <w:lang w:val="en-GB"/>
        </w:rPr>
        <w:t xml:space="preserve"> in combination with his apparent conflict of interest</w:t>
      </w:r>
      <w:r w:rsidR="005238E5">
        <w:rPr>
          <w:rFonts w:ascii="Times Roman" w:hAnsi="Times Roman"/>
          <w:lang w:val="en-GB"/>
        </w:rPr>
        <w:t>,</w:t>
      </w:r>
      <w:r>
        <w:rPr>
          <w:rFonts w:ascii="Times Roman" w:hAnsi="Times Roman"/>
          <w:lang w:val="en-GB"/>
        </w:rPr>
        <w:t xml:space="preserve"> dramatically undermines the weight and credibility that should be afforded to </w:t>
      </w:r>
      <w:r w:rsidR="003B782D">
        <w:rPr>
          <w:rFonts w:ascii="Times Roman" w:hAnsi="Times Roman"/>
          <w:lang w:val="en-GB"/>
        </w:rPr>
        <w:t>his evidence.</w:t>
      </w:r>
    </w:p>
    <w:p w14:paraId="6BDE95B0" w14:textId="77777777" w:rsidR="003B782D" w:rsidRPr="003B782D" w:rsidRDefault="003B782D" w:rsidP="003B782D">
      <w:pPr>
        <w:pStyle w:val="ListParagraph"/>
        <w:shd w:val="clear" w:color="auto" w:fill="FFFFFF"/>
        <w:spacing w:after="120" w:line="360" w:lineRule="auto"/>
        <w:ind w:left="0"/>
        <w:contextualSpacing w:val="0"/>
        <w:jc w:val="both"/>
        <w:rPr>
          <w:rFonts w:ascii="Times Roman" w:hAnsi="Times Roman"/>
          <w:lang w:val="en-GB"/>
        </w:rPr>
      </w:pPr>
    </w:p>
    <w:p w14:paraId="3242EF2B" w14:textId="79F6640C" w:rsidR="00176313" w:rsidRDefault="00176313" w:rsidP="00176313">
      <w:pPr>
        <w:pStyle w:val="Heading4"/>
        <w:ind w:firstLine="720"/>
        <w:rPr>
          <w:color w:val="auto"/>
          <w:lang w:val="en-GB"/>
        </w:rPr>
      </w:pPr>
      <w:bookmarkStart w:id="21" w:name="_Toc411860398"/>
      <w:r w:rsidRPr="00176313">
        <w:rPr>
          <w:color w:val="auto"/>
          <w:lang w:val="en-GB"/>
        </w:rPr>
        <w:t>Aggressiveness</w:t>
      </w:r>
      <w:bookmarkEnd w:id="21"/>
      <w:r w:rsidRPr="00176313">
        <w:rPr>
          <w:color w:val="auto"/>
          <w:lang w:val="en-GB"/>
        </w:rPr>
        <w:t xml:space="preserve"> </w:t>
      </w:r>
    </w:p>
    <w:p w14:paraId="55E370FC" w14:textId="77777777" w:rsidR="00CE5E9F" w:rsidRPr="00CE5E9F" w:rsidRDefault="00CE5E9F" w:rsidP="00CE5E9F"/>
    <w:p w14:paraId="6AD1F02F" w14:textId="77777777" w:rsidR="00CE5E9F" w:rsidRDefault="00CE5E9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Mr. Thompson was examined-in-chief for </w:t>
      </w:r>
      <w:r w:rsidR="00ED764F">
        <w:rPr>
          <w:rFonts w:ascii="Times Roman" w:hAnsi="Times Roman"/>
          <w:lang w:val="en-GB"/>
        </w:rPr>
        <w:t>almost a day and a half. During that time he wa</w:t>
      </w:r>
      <w:r>
        <w:rPr>
          <w:rFonts w:ascii="Times Roman" w:hAnsi="Times Roman"/>
          <w:lang w:val="en-GB"/>
        </w:rPr>
        <w:t>s calm, respectful and patient.</w:t>
      </w:r>
    </w:p>
    <w:p w14:paraId="46EFA217" w14:textId="66263517" w:rsidR="00176313" w:rsidRDefault="003B782D"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M</w:t>
      </w:r>
      <w:r w:rsidR="00ED764F">
        <w:rPr>
          <w:rFonts w:ascii="Times Roman" w:hAnsi="Times Roman"/>
          <w:lang w:val="en-GB"/>
        </w:rPr>
        <w:t xml:space="preserve">inutes into </w:t>
      </w:r>
      <w:r w:rsidR="00CE5E9F">
        <w:rPr>
          <w:rFonts w:ascii="Times Roman" w:hAnsi="Times Roman"/>
          <w:lang w:val="en-GB"/>
        </w:rPr>
        <w:t>cross-examination</w:t>
      </w:r>
      <w:r w:rsidR="00ED764F">
        <w:rPr>
          <w:rFonts w:ascii="Times Roman" w:hAnsi="Times Roman"/>
          <w:lang w:val="en-GB"/>
        </w:rPr>
        <w:t xml:space="preserve"> by defence counsel for Mr. Kalair, Mr. Thompson bec</w:t>
      </w:r>
      <w:r w:rsidR="003523C8">
        <w:rPr>
          <w:rFonts w:ascii="Times Roman" w:hAnsi="Times Roman"/>
          <w:lang w:val="en-GB"/>
        </w:rPr>
        <w:t>ame</w:t>
      </w:r>
      <w:r w:rsidR="00ED764F">
        <w:rPr>
          <w:rFonts w:ascii="Times Roman" w:hAnsi="Times Roman"/>
          <w:lang w:val="en-GB"/>
        </w:rPr>
        <w:t xml:space="preserve"> visibly frustrated. In response to </w:t>
      </w:r>
      <w:r w:rsidR="00CE5E9F">
        <w:rPr>
          <w:rFonts w:ascii="Times Roman" w:hAnsi="Times Roman"/>
          <w:lang w:val="en-GB"/>
        </w:rPr>
        <w:t xml:space="preserve">initial </w:t>
      </w:r>
      <w:r w:rsidR="00ED764F">
        <w:rPr>
          <w:rFonts w:ascii="Times Roman" w:hAnsi="Times Roman"/>
          <w:lang w:val="en-GB"/>
        </w:rPr>
        <w:t xml:space="preserve">questions about whether the receiver </w:t>
      </w:r>
      <w:r w:rsidR="00ED764F">
        <w:rPr>
          <w:rFonts w:ascii="Times Roman" w:hAnsi="Times Roman"/>
          <w:lang w:val="en-GB"/>
        </w:rPr>
        <w:lastRenderedPageBreak/>
        <w:t xml:space="preserve">credited the homeowners for </w:t>
      </w:r>
      <w:r w:rsidR="00CE5E9F">
        <w:rPr>
          <w:rFonts w:ascii="Times Roman" w:hAnsi="Times Roman"/>
          <w:lang w:val="en-GB"/>
        </w:rPr>
        <w:t>demonstrable</w:t>
      </w:r>
      <w:r w:rsidR="00ED764F">
        <w:rPr>
          <w:rFonts w:ascii="Times Roman" w:hAnsi="Times Roman"/>
          <w:lang w:val="en-GB"/>
        </w:rPr>
        <w:t xml:space="preserve"> payments, </w:t>
      </w:r>
      <w:r w:rsidR="00CE5E9F">
        <w:rPr>
          <w:rFonts w:ascii="Times Roman" w:hAnsi="Times Roman"/>
          <w:lang w:val="en-GB"/>
        </w:rPr>
        <w:t>so</w:t>
      </w:r>
      <w:r>
        <w:rPr>
          <w:rFonts w:ascii="Times Roman" w:hAnsi="Times Roman"/>
          <w:lang w:val="en-GB"/>
        </w:rPr>
        <w:t xml:space="preserve">mething entirely within his knowledge as </w:t>
      </w:r>
      <w:r w:rsidR="00CE5E9F">
        <w:rPr>
          <w:rFonts w:ascii="Times Roman" w:hAnsi="Times Roman"/>
          <w:lang w:val="en-GB"/>
        </w:rPr>
        <w:t xml:space="preserve">receiver, </w:t>
      </w:r>
      <w:r w:rsidR="00C34D56">
        <w:rPr>
          <w:rFonts w:ascii="Times Roman" w:hAnsi="Times Roman"/>
          <w:lang w:val="en-GB"/>
        </w:rPr>
        <w:t>Mr. Thom</w:t>
      </w:r>
      <w:r w:rsidR="00ED764F">
        <w:rPr>
          <w:rFonts w:ascii="Times Roman" w:hAnsi="Times Roman"/>
          <w:lang w:val="en-GB"/>
        </w:rPr>
        <w:t>p</w:t>
      </w:r>
      <w:r w:rsidR="00C34D56">
        <w:rPr>
          <w:rFonts w:ascii="Times Roman" w:hAnsi="Times Roman"/>
          <w:lang w:val="en-GB"/>
        </w:rPr>
        <w:t>s</w:t>
      </w:r>
      <w:r w:rsidR="00ED764F">
        <w:rPr>
          <w:rFonts w:ascii="Times Roman" w:hAnsi="Times Roman"/>
          <w:lang w:val="en-GB"/>
        </w:rPr>
        <w:t>on responded with the following</w:t>
      </w:r>
      <w:r w:rsidR="00C34D56">
        <w:rPr>
          <w:rStyle w:val="FootnoteReference"/>
          <w:rFonts w:ascii="Times Roman" w:hAnsi="Times Roman"/>
          <w:lang w:val="en-GB"/>
        </w:rPr>
        <w:footnoteReference w:id="64"/>
      </w:r>
      <w:r w:rsidR="00ED764F">
        <w:rPr>
          <w:rFonts w:ascii="Times Roman" w:hAnsi="Times Roman"/>
          <w:lang w:val="en-GB"/>
        </w:rPr>
        <w:t xml:space="preserve">: </w:t>
      </w:r>
    </w:p>
    <w:p w14:paraId="4E12302C" w14:textId="41C877BC" w:rsidR="00ED764F" w:rsidRDefault="00CE5E9F" w:rsidP="00C87CF5">
      <w:pPr>
        <w:pStyle w:val="ListParagraph"/>
        <w:numPr>
          <w:ilvl w:val="0"/>
          <w:numId w:val="5"/>
        </w:numPr>
        <w:shd w:val="clear" w:color="auto" w:fill="FFFFFF"/>
        <w:spacing w:after="120" w:line="360" w:lineRule="auto"/>
        <w:ind w:left="1080"/>
        <w:contextualSpacing w:val="0"/>
        <w:jc w:val="both"/>
        <w:rPr>
          <w:rFonts w:ascii="Times Roman" w:hAnsi="Times Roman"/>
          <w:lang w:val="en-GB"/>
        </w:rPr>
      </w:pPr>
      <w:r>
        <w:rPr>
          <w:rFonts w:ascii="Times Roman" w:hAnsi="Times Roman"/>
          <w:lang w:val="en-GB"/>
        </w:rPr>
        <w:t xml:space="preserve">So I don’t know. I’ve answered your question, and I don’t know. I don’t know </w:t>
      </w:r>
    </w:p>
    <w:p w14:paraId="4E3CFA4F" w14:textId="6D2C99F4" w:rsidR="00CE5E9F" w:rsidRDefault="00CE5E9F" w:rsidP="00CE5E9F">
      <w:pPr>
        <w:pStyle w:val="ListParagraph"/>
        <w:shd w:val="clear" w:color="auto" w:fill="FFFFFF"/>
        <w:spacing w:after="120" w:line="360" w:lineRule="auto"/>
        <w:ind w:left="1080"/>
        <w:contextualSpacing w:val="0"/>
        <w:jc w:val="both"/>
        <w:rPr>
          <w:rFonts w:ascii="Times Roman" w:hAnsi="Times Roman"/>
          <w:lang w:val="en-GB"/>
        </w:rPr>
      </w:pPr>
      <w:r>
        <w:rPr>
          <w:rFonts w:ascii="Times Roman" w:hAnsi="Times Roman"/>
          <w:lang w:val="en-GB"/>
        </w:rPr>
        <w:t>….</w:t>
      </w:r>
    </w:p>
    <w:p w14:paraId="10DD8729" w14:textId="409C7B8F" w:rsidR="00CE5E9F" w:rsidRDefault="00CE5E9F" w:rsidP="00C87CF5">
      <w:pPr>
        <w:pStyle w:val="ListParagraph"/>
        <w:numPr>
          <w:ilvl w:val="0"/>
          <w:numId w:val="6"/>
        </w:numPr>
        <w:shd w:val="clear" w:color="auto" w:fill="FFFFFF"/>
        <w:spacing w:after="120" w:line="360" w:lineRule="auto"/>
        <w:jc w:val="both"/>
        <w:rPr>
          <w:rFonts w:ascii="Times Roman" w:hAnsi="Times Roman"/>
          <w:lang w:val="en-GB"/>
        </w:rPr>
      </w:pPr>
      <w:r w:rsidRPr="00CE5E9F">
        <w:rPr>
          <w:rFonts w:ascii="Times Roman" w:hAnsi="Times Roman"/>
          <w:lang w:val="en-GB"/>
        </w:rPr>
        <w:t>You can suggest all you like, I don’t know the answer.</w:t>
      </w:r>
    </w:p>
    <w:p w14:paraId="631B0EC3" w14:textId="0B82D3C3" w:rsidR="00CE5E9F" w:rsidRDefault="00CE5E9F" w:rsidP="00CE5E9F">
      <w:pPr>
        <w:shd w:val="clear" w:color="auto" w:fill="FFFFFF"/>
        <w:spacing w:after="120" w:line="360" w:lineRule="auto"/>
        <w:ind w:left="720"/>
        <w:jc w:val="both"/>
        <w:rPr>
          <w:rFonts w:ascii="Times Roman" w:hAnsi="Times Roman"/>
          <w:lang w:val="en-GB"/>
        </w:rPr>
      </w:pPr>
      <w:r>
        <w:rPr>
          <w:rFonts w:ascii="Times Roman" w:hAnsi="Times Roman"/>
          <w:lang w:val="en-GB"/>
        </w:rPr>
        <w:t>Q. Mr. Thompson, we are 60 seconds into what might be a longer examination. There’s no reason for this to be adversarial. I am just indicating…</w:t>
      </w:r>
    </w:p>
    <w:p w14:paraId="3BB3A4B8" w14:textId="75C2F212" w:rsidR="00C34D56" w:rsidRDefault="00CE5E9F" w:rsidP="00C34D56">
      <w:pPr>
        <w:shd w:val="clear" w:color="auto" w:fill="FFFFFF"/>
        <w:spacing w:after="120" w:line="360" w:lineRule="auto"/>
        <w:ind w:left="720"/>
        <w:jc w:val="both"/>
        <w:rPr>
          <w:rFonts w:ascii="Times Roman" w:hAnsi="Times Roman"/>
          <w:lang w:val="en-GB"/>
        </w:rPr>
      </w:pPr>
      <w:r>
        <w:rPr>
          <w:rFonts w:ascii="Times Roman" w:hAnsi="Times Roman"/>
          <w:lang w:val="en-GB"/>
        </w:rPr>
        <w:t>A. There is if you’re asking me to confirm things that I am not confirming. And so I said: It was seven years ago, I do not remember, and that is my answer.</w:t>
      </w:r>
    </w:p>
    <w:p w14:paraId="34C71A76" w14:textId="78AFECF7" w:rsidR="00ED764F" w:rsidRDefault="00C81B2A"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This anger, </w:t>
      </w:r>
      <w:r w:rsidR="00526D88">
        <w:rPr>
          <w:rFonts w:ascii="Times Roman" w:hAnsi="Times Roman"/>
          <w:lang w:val="en-GB"/>
        </w:rPr>
        <w:t>hostility</w:t>
      </w:r>
      <w:r>
        <w:rPr>
          <w:rFonts w:ascii="Times Roman" w:hAnsi="Times Roman"/>
          <w:lang w:val="en-GB"/>
        </w:rPr>
        <w:t xml:space="preserve"> and sarcasm</w:t>
      </w:r>
      <w:r w:rsidR="00C34D56">
        <w:rPr>
          <w:rFonts w:ascii="Times Roman" w:hAnsi="Times Roman"/>
          <w:lang w:val="en-GB"/>
        </w:rPr>
        <w:t xml:space="preserve"> </w:t>
      </w:r>
      <w:r w:rsidR="0091337F">
        <w:rPr>
          <w:rFonts w:ascii="Times Roman" w:hAnsi="Times Roman"/>
          <w:lang w:val="en-GB"/>
        </w:rPr>
        <w:t>were</w:t>
      </w:r>
      <w:r w:rsidR="00C34D56">
        <w:rPr>
          <w:rFonts w:ascii="Times Roman" w:hAnsi="Times Roman"/>
          <w:lang w:val="en-GB"/>
        </w:rPr>
        <w:t xml:space="preserve"> present all the way through the cross-examination.</w:t>
      </w:r>
      <w:r w:rsidR="0091337F">
        <w:rPr>
          <w:rFonts w:ascii="Times Roman" w:hAnsi="Times Roman"/>
          <w:lang w:val="en-GB"/>
        </w:rPr>
        <w:t xml:space="preserve"> The following examples, although not exhaustive, are demonstrative</w:t>
      </w:r>
      <w:r w:rsidR="00C34D56">
        <w:rPr>
          <w:rFonts w:ascii="Times Roman" w:hAnsi="Times Roman"/>
          <w:lang w:val="en-GB"/>
        </w:rPr>
        <w:t>:</w:t>
      </w:r>
    </w:p>
    <w:p w14:paraId="0205C929" w14:textId="6EA25798" w:rsidR="00C34D56" w:rsidRPr="0091337F" w:rsidRDefault="00C34D56" w:rsidP="0091337F">
      <w:pPr>
        <w:shd w:val="clear" w:color="auto" w:fill="FFFFFF"/>
        <w:spacing w:after="120" w:line="360" w:lineRule="auto"/>
        <w:jc w:val="both"/>
        <w:rPr>
          <w:rFonts w:ascii="Times Roman" w:hAnsi="Times Roman"/>
          <w:b/>
          <w:lang w:val="en-GB"/>
        </w:rPr>
      </w:pPr>
      <w:r w:rsidRPr="0091337F">
        <w:rPr>
          <w:rFonts w:ascii="Times Roman" w:hAnsi="Times Roman"/>
          <w:b/>
          <w:lang w:val="en-GB"/>
        </w:rPr>
        <w:t>Exchange 1:</w:t>
      </w:r>
      <w:r w:rsidR="00512420">
        <w:rPr>
          <w:rStyle w:val="FootnoteReference"/>
          <w:rFonts w:ascii="Times Roman" w:hAnsi="Times Roman"/>
          <w:b/>
          <w:lang w:val="en-GB"/>
        </w:rPr>
        <w:footnoteReference w:id="65"/>
      </w:r>
    </w:p>
    <w:p w14:paraId="5529C5CD" w14:textId="77777777" w:rsidR="00C34D56" w:rsidRDefault="00C34D56" w:rsidP="00C34D56">
      <w:pPr>
        <w:pStyle w:val="ListParagraph"/>
        <w:shd w:val="clear" w:color="auto" w:fill="FFFFFF"/>
        <w:spacing w:after="120" w:line="360" w:lineRule="auto"/>
        <w:contextualSpacing w:val="0"/>
        <w:jc w:val="both"/>
        <w:rPr>
          <w:rFonts w:ascii="Times Roman" w:hAnsi="Times Roman"/>
          <w:lang w:val="en-GB"/>
        </w:rPr>
      </w:pPr>
      <w:r>
        <w:rPr>
          <w:rFonts w:ascii="Times Roman" w:hAnsi="Times Roman"/>
          <w:lang w:val="en-GB"/>
        </w:rPr>
        <w:t>Q. Okay and I am going to suggest to you that one of the duties included in that court order, in the responsibility, is to run the business, correct?</w:t>
      </w:r>
    </w:p>
    <w:p w14:paraId="65697175" w14:textId="77777777" w:rsidR="00C34D56" w:rsidRDefault="00C34D56" w:rsidP="00C34D56">
      <w:pPr>
        <w:pStyle w:val="ListParagraph"/>
        <w:shd w:val="clear" w:color="auto" w:fill="FFFFFF"/>
        <w:spacing w:after="120" w:line="360" w:lineRule="auto"/>
        <w:contextualSpacing w:val="0"/>
        <w:jc w:val="both"/>
        <w:rPr>
          <w:rFonts w:ascii="Times Roman" w:hAnsi="Times Roman"/>
          <w:lang w:val="en-GB"/>
        </w:rPr>
      </w:pPr>
      <w:r>
        <w:rPr>
          <w:rFonts w:ascii="Times Roman" w:hAnsi="Times Roman"/>
          <w:lang w:val="en-GB"/>
        </w:rPr>
        <w:t xml:space="preserve">A. If you read the court order, perhaps you can educate yourself on what the duties of the receiver are. </w:t>
      </w:r>
    </w:p>
    <w:p w14:paraId="1FDBA0F8" w14:textId="77777777" w:rsidR="00C34D56" w:rsidRDefault="00C34D56" w:rsidP="00C34D56">
      <w:pPr>
        <w:pStyle w:val="ListParagraph"/>
        <w:shd w:val="clear" w:color="auto" w:fill="FFFFFF"/>
        <w:spacing w:after="120" w:line="360" w:lineRule="auto"/>
        <w:contextualSpacing w:val="0"/>
        <w:jc w:val="both"/>
        <w:rPr>
          <w:rFonts w:ascii="Times Roman" w:hAnsi="Times Roman"/>
          <w:lang w:val="en-GB"/>
        </w:rPr>
      </w:pPr>
      <w:r>
        <w:rPr>
          <w:rFonts w:ascii="Times Roman" w:hAnsi="Times Roman"/>
          <w:lang w:val="en-GB"/>
        </w:rPr>
        <w:t xml:space="preserve">Q. Sir, you may find this surprising, but I am capable of reading a court order. I’ve done it a few times. </w:t>
      </w:r>
    </w:p>
    <w:p w14:paraId="3302E816" w14:textId="6E369DD6" w:rsidR="00C34D56" w:rsidRDefault="00C34D56" w:rsidP="00C34D56">
      <w:pPr>
        <w:pStyle w:val="ListParagraph"/>
        <w:shd w:val="clear" w:color="auto" w:fill="FFFFFF"/>
        <w:spacing w:after="120" w:line="360" w:lineRule="auto"/>
        <w:contextualSpacing w:val="0"/>
        <w:jc w:val="both"/>
        <w:rPr>
          <w:rFonts w:ascii="Times Roman" w:hAnsi="Times Roman"/>
          <w:lang w:val="en-GB"/>
        </w:rPr>
      </w:pPr>
      <w:r>
        <w:rPr>
          <w:rFonts w:ascii="Times Roman" w:hAnsi="Times Roman"/>
          <w:lang w:val="en-GB"/>
        </w:rPr>
        <w:t xml:space="preserve">A. So then perhaps you should read it.  </w:t>
      </w:r>
    </w:p>
    <w:p w14:paraId="12656722" w14:textId="56AC119E" w:rsidR="00512420" w:rsidRDefault="00512420" w:rsidP="00C34D56">
      <w:pPr>
        <w:pStyle w:val="ListParagraph"/>
        <w:shd w:val="clear" w:color="auto" w:fill="FFFFFF"/>
        <w:spacing w:after="120" w:line="360" w:lineRule="auto"/>
        <w:contextualSpacing w:val="0"/>
        <w:jc w:val="both"/>
        <w:rPr>
          <w:rFonts w:ascii="Times Roman" w:hAnsi="Times Roman"/>
          <w:lang w:val="en-GB"/>
        </w:rPr>
      </w:pPr>
      <w:r>
        <w:rPr>
          <w:rFonts w:ascii="Times Roman" w:hAnsi="Times Roman"/>
          <w:lang w:val="en-GB"/>
        </w:rPr>
        <w:t>Q. But sir, again…</w:t>
      </w:r>
    </w:p>
    <w:p w14:paraId="222CC88C" w14:textId="6003034C" w:rsidR="00512420" w:rsidRDefault="00512420" w:rsidP="00C34D56">
      <w:pPr>
        <w:pStyle w:val="ListParagraph"/>
        <w:shd w:val="clear" w:color="auto" w:fill="FFFFFF"/>
        <w:spacing w:after="120" w:line="360" w:lineRule="auto"/>
        <w:contextualSpacing w:val="0"/>
        <w:jc w:val="both"/>
        <w:rPr>
          <w:rFonts w:ascii="Times Roman" w:hAnsi="Times Roman"/>
          <w:lang w:val="en-GB"/>
        </w:rPr>
      </w:pPr>
      <w:r>
        <w:rPr>
          <w:rFonts w:ascii="Times Roman" w:hAnsi="Times Roman"/>
          <w:lang w:val="en-GB"/>
        </w:rPr>
        <w:t xml:space="preserve">A. Why don’t you read the section on the duties and the powers of the receiver as set out in the court order instead of wasting my time asking these questions. </w:t>
      </w:r>
    </w:p>
    <w:p w14:paraId="1682BAA5" w14:textId="566DB049" w:rsidR="009955D6" w:rsidRPr="009955D6" w:rsidRDefault="009955D6" w:rsidP="009955D6">
      <w:pPr>
        <w:shd w:val="clear" w:color="auto" w:fill="FFFFFF"/>
        <w:spacing w:after="120" w:line="360" w:lineRule="auto"/>
        <w:jc w:val="both"/>
        <w:rPr>
          <w:rFonts w:ascii="Times Roman" w:hAnsi="Times Roman"/>
          <w:b/>
          <w:lang w:val="en-GB"/>
        </w:rPr>
      </w:pPr>
      <w:r w:rsidRPr="009955D6">
        <w:rPr>
          <w:rFonts w:ascii="Times Roman" w:hAnsi="Times Roman"/>
          <w:b/>
          <w:lang w:val="en-GB"/>
        </w:rPr>
        <w:t>Exchange 2</w:t>
      </w:r>
      <w:r>
        <w:rPr>
          <w:rStyle w:val="FootnoteReference"/>
          <w:rFonts w:ascii="Times Roman" w:hAnsi="Times Roman"/>
          <w:b/>
          <w:lang w:val="en-GB"/>
        </w:rPr>
        <w:footnoteReference w:id="66"/>
      </w:r>
    </w:p>
    <w:p w14:paraId="26CFE142" w14:textId="043A94DE" w:rsidR="009955D6" w:rsidRDefault="009955D6" w:rsidP="009955D6">
      <w:pPr>
        <w:shd w:val="clear" w:color="auto" w:fill="FFFFFF"/>
        <w:spacing w:after="120" w:line="360" w:lineRule="auto"/>
        <w:ind w:left="720"/>
        <w:jc w:val="both"/>
        <w:rPr>
          <w:rFonts w:ascii="Times Roman" w:hAnsi="Times Roman"/>
          <w:lang w:val="en-GB"/>
        </w:rPr>
      </w:pPr>
      <w:r>
        <w:rPr>
          <w:rFonts w:ascii="Times Roman" w:hAnsi="Times Roman"/>
          <w:lang w:val="en-GB"/>
        </w:rPr>
        <w:lastRenderedPageBreak/>
        <w:t xml:space="preserve">Q. Okay. What I’m asking you is, you see the distinction now though, right, that if you were stepping into the shoes of a meat-packer, and you as the receiver – </w:t>
      </w:r>
    </w:p>
    <w:p w14:paraId="13A3E34F" w14:textId="0E85DD8F" w:rsidR="009955D6" w:rsidRDefault="009955D6" w:rsidP="009955D6">
      <w:pPr>
        <w:shd w:val="clear" w:color="auto" w:fill="FFFFFF"/>
        <w:spacing w:after="120" w:line="360" w:lineRule="auto"/>
        <w:ind w:left="720"/>
        <w:jc w:val="both"/>
        <w:rPr>
          <w:rFonts w:ascii="Times Roman" w:hAnsi="Times Roman"/>
          <w:lang w:val="en-GB"/>
        </w:rPr>
      </w:pPr>
      <w:r>
        <w:rPr>
          <w:rFonts w:ascii="Times Roman" w:hAnsi="Times Roman"/>
          <w:lang w:val="en-GB"/>
        </w:rPr>
        <w:t xml:space="preserve">A. I actually don’t see the distinction. I think that a kosher meat-packer is very different than a residential mortgage company. And I think that the laws that are applicable to residential mortgages in Canada are dealt with </w:t>
      </w:r>
      <w:r w:rsidR="00F33320">
        <w:rPr>
          <w:rFonts w:ascii="Times Roman" w:hAnsi="Times Roman"/>
          <w:lang w:val="en-GB"/>
        </w:rPr>
        <w:t>b</w:t>
      </w:r>
      <w:r>
        <w:rPr>
          <w:rFonts w:ascii="Times Roman" w:hAnsi="Times Roman"/>
          <w:lang w:val="en-GB"/>
        </w:rPr>
        <w:t xml:space="preserve">y Canadian law, so I don’t understand your questions, and I don’t understand your analogy, and I don’t have anything further to say about that. </w:t>
      </w:r>
    </w:p>
    <w:p w14:paraId="6527265F" w14:textId="553597D9" w:rsidR="00C06BCC" w:rsidRDefault="002A0745" w:rsidP="0091337F">
      <w:pPr>
        <w:shd w:val="clear" w:color="auto" w:fill="FFFFFF"/>
        <w:spacing w:after="120" w:line="360" w:lineRule="auto"/>
        <w:jc w:val="both"/>
        <w:rPr>
          <w:rFonts w:ascii="Times Roman" w:hAnsi="Times Roman"/>
          <w:b/>
          <w:lang w:val="en-GB"/>
        </w:rPr>
      </w:pPr>
      <w:r w:rsidRPr="002A0745">
        <w:rPr>
          <w:rFonts w:ascii="Times Roman" w:hAnsi="Times Roman"/>
          <w:b/>
          <w:lang w:val="en-GB"/>
        </w:rPr>
        <w:t>Exchange 3</w:t>
      </w:r>
    </w:p>
    <w:p w14:paraId="040F3E65" w14:textId="3CD78AAC" w:rsidR="002A0745" w:rsidRDefault="002A0745" w:rsidP="009955D6">
      <w:pPr>
        <w:shd w:val="clear" w:color="auto" w:fill="FFFFFF"/>
        <w:spacing w:after="120" w:line="360" w:lineRule="auto"/>
        <w:ind w:left="720"/>
        <w:jc w:val="both"/>
        <w:rPr>
          <w:rFonts w:ascii="Times Roman" w:hAnsi="Times Roman"/>
          <w:lang w:val="en-GB"/>
        </w:rPr>
      </w:pPr>
      <w:r>
        <w:rPr>
          <w:rFonts w:ascii="Times Roman" w:hAnsi="Times Roman"/>
          <w:lang w:val="en-GB"/>
        </w:rPr>
        <w:t>A. Okay, what are you asking me?</w:t>
      </w:r>
    </w:p>
    <w:p w14:paraId="4A04E008" w14:textId="0E46EF9D" w:rsidR="002A0745" w:rsidRDefault="002A0745" w:rsidP="009955D6">
      <w:pPr>
        <w:shd w:val="clear" w:color="auto" w:fill="FFFFFF"/>
        <w:spacing w:after="120" w:line="360" w:lineRule="auto"/>
        <w:ind w:left="720"/>
        <w:jc w:val="both"/>
        <w:rPr>
          <w:rFonts w:ascii="Times Roman" w:hAnsi="Times Roman"/>
          <w:lang w:val="en-GB"/>
        </w:rPr>
      </w:pPr>
      <w:r>
        <w:rPr>
          <w:rFonts w:ascii="Times Roman" w:hAnsi="Times Roman"/>
          <w:lang w:val="en-GB"/>
        </w:rPr>
        <w:t>Q. Well, let me tell you what I am not asking you first.</w:t>
      </w:r>
    </w:p>
    <w:p w14:paraId="5E0B985D" w14:textId="4400A201" w:rsidR="002A0745" w:rsidRDefault="002A0745" w:rsidP="009955D6">
      <w:pPr>
        <w:shd w:val="clear" w:color="auto" w:fill="FFFFFF"/>
        <w:spacing w:after="120" w:line="360" w:lineRule="auto"/>
        <w:ind w:left="720"/>
        <w:jc w:val="both"/>
        <w:rPr>
          <w:rFonts w:ascii="Times Roman" w:hAnsi="Times Roman"/>
          <w:lang w:val="en-GB"/>
        </w:rPr>
      </w:pPr>
      <w:r>
        <w:rPr>
          <w:rFonts w:ascii="Times Roman" w:hAnsi="Times Roman"/>
          <w:lang w:val="en-GB"/>
        </w:rPr>
        <w:t xml:space="preserve">A. No, please tell me what you are asking me. </w:t>
      </w:r>
    </w:p>
    <w:p w14:paraId="3F79F033" w14:textId="00AC0ACB" w:rsidR="002A0745" w:rsidRDefault="002A0745" w:rsidP="009955D6">
      <w:pPr>
        <w:shd w:val="clear" w:color="auto" w:fill="FFFFFF"/>
        <w:spacing w:after="120" w:line="360" w:lineRule="auto"/>
        <w:ind w:left="720"/>
        <w:jc w:val="both"/>
        <w:rPr>
          <w:rFonts w:ascii="Times Roman" w:hAnsi="Times Roman"/>
          <w:lang w:val="en-GB"/>
        </w:rPr>
      </w:pPr>
      <w:r>
        <w:rPr>
          <w:rFonts w:ascii="Times Roman" w:hAnsi="Times Roman"/>
          <w:lang w:val="en-GB"/>
        </w:rPr>
        <w:t xml:space="preserve">Q. You know what - </w:t>
      </w:r>
    </w:p>
    <w:p w14:paraId="6753D328" w14:textId="62C9629E" w:rsidR="002A0745" w:rsidRDefault="002A0745" w:rsidP="009955D6">
      <w:pPr>
        <w:shd w:val="clear" w:color="auto" w:fill="FFFFFF"/>
        <w:spacing w:after="120" w:line="360" w:lineRule="auto"/>
        <w:ind w:left="720"/>
        <w:jc w:val="both"/>
        <w:rPr>
          <w:rFonts w:ascii="Times Roman" w:hAnsi="Times Roman"/>
          <w:lang w:val="en-GB"/>
        </w:rPr>
      </w:pPr>
      <w:r>
        <w:rPr>
          <w:rFonts w:ascii="Times Roman" w:hAnsi="Times Roman"/>
          <w:lang w:val="en-GB"/>
        </w:rPr>
        <w:t>A. I would like to answer a question.,,</w:t>
      </w:r>
    </w:p>
    <w:p w14:paraId="6326CE68" w14:textId="0772726B" w:rsidR="002A0745" w:rsidRDefault="002A0745" w:rsidP="009955D6">
      <w:pPr>
        <w:shd w:val="clear" w:color="auto" w:fill="FFFFFF"/>
        <w:spacing w:after="120" w:line="360" w:lineRule="auto"/>
        <w:ind w:left="720"/>
        <w:jc w:val="both"/>
        <w:rPr>
          <w:rFonts w:ascii="Times Roman" w:hAnsi="Times Roman"/>
          <w:lang w:val="en-GB"/>
        </w:rPr>
      </w:pPr>
      <w:r>
        <w:rPr>
          <w:rFonts w:ascii="Times Roman" w:hAnsi="Times Roman"/>
          <w:lang w:val="en-GB"/>
        </w:rPr>
        <w:t xml:space="preserve">Q. Great. </w:t>
      </w:r>
    </w:p>
    <w:p w14:paraId="48EC5ABA" w14:textId="5C2CE883" w:rsidR="00C81B2A" w:rsidRDefault="002A0745" w:rsidP="00C81B2A">
      <w:pPr>
        <w:shd w:val="clear" w:color="auto" w:fill="FFFFFF"/>
        <w:spacing w:after="120" w:line="360" w:lineRule="auto"/>
        <w:ind w:left="720"/>
        <w:jc w:val="both"/>
        <w:rPr>
          <w:rFonts w:ascii="Times Roman" w:hAnsi="Times Roman"/>
          <w:lang w:val="en-GB"/>
        </w:rPr>
      </w:pPr>
      <w:r>
        <w:rPr>
          <w:rFonts w:ascii="Times Roman" w:hAnsi="Times Roman"/>
          <w:lang w:val="en-GB"/>
        </w:rPr>
        <w:t xml:space="preserve">A. …and move on. </w:t>
      </w:r>
    </w:p>
    <w:p w14:paraId="2E61626B" w14:textId="03620629" w:rsidR="00C81B2A" w:rsidRDefault="00C81B2A" w:rsidP="0091337F">
      <w:pPr>
        <w:shd w:val="clear" w:color="auto" w:fill="FFFFFF"/>
        <w:spacing w:after="120" w:line="360" w:lineRule="auto"/>
        <w:jc w:val="both"/>
        <w:rPr>
          <w:rFonts w:ascii="Times Roman" w:hAnsi="Times Roman"/>
          <w:b/>
          <w:lang w:val="en-GB"/>
        </w:rPr>
      </w:pPr>
      <w:r>
        <w:rPr>
          <w:rFonts w:ascii="Times Roman" w:hAnsi="Times Roman"/>
          <w:b/>
          <w:lang w:val="en-GB"/>
        </w:rPr>
        <w:t>Exchange 4:</w:t>
      </w:r>
      <w:r w:rsidR="00271F75">
        <w:rPr>
          <w:rStyle w:val="FootnoteReference"/>
          <w:rFonts w:ascii="Times Roman" w:hAnsi="Times Roman"/>
          <w:b/>
          <w:lang w:val="en-GB"/>
        </w:rPr>
        <w:footnoteReference w:id="67"/>
      </w:r>
    </w:p>
    <w:p w14:paraId="69097C55" w14:textId="05CE7360" w:rsidR="00C81B2A" w:rsidRDefault="00C81B2A" w:rsidP="00C81B2A">
      <w:pPr>
        <w:shd w:val="clear" w:color="auto" w:fill="FFFFFF"/>
        <w:spacing w:after="120" w:line="360" w:lineRule="auto"/>
        <w:ind w:left="720"/>
        <w:jc w:val="both"/>
        <w:rPr>
          <w:rFonts w:ascii="Times Roman" w:hAnsi="Times Roman"/>
          <w:lang w:val="en-GB"/>
        </w:rPr>
      </w:pPr>
      <w:r>
        <w:rPr>
          <w:rFonts w:ascii="Times Roman" w:hAnsi="Times Roman"/>
          <w:lang w:val="en-GB"/>
        </w:rPr>
        <w:t>Q. Do you not – you don’t know whether your office booked a room at the Royal York for a couple of hours for those meetings?</w:t>
      </w:r>
    </w:p>
    <w:p w14:paraId="44948C92" w14:textId="4AD92BFC" w:rsidR="00C81B2A" w:rsidRDefault="00C81B2A" w:rsidP="00E015D6">
      <w:pPr>
        <w:shd w:val="clear" w:color="auto" w:fill="FFFFFF"/>
        <w:spacing w:after="120" w:line="360" w:lineRule="auto"/>
        <w:ind w:left="720"/>
        <w:jc w:val="both"/>
        <w:rPr>
          <w:rFonts w:ascii="Times Roman" w:hAnsi="Times Roman"/>
          <w:lang w:val="en-GB"/>
        </w:rPr>
      </w:pPr>
      <w:r>
        <w:rPr>
          <w:rFonts w:ascii="Times Roman" w:hAnsi="Times Roman"/>
          <w:lang w:val="en-GB"/>
        </w:rPr>
        <w:t>A. Do I know about the administrative functions that happened 7 years ago? No I don’t</w:t>
      </w:r>
    </w:p>
    <w:p w14:paraId="08793EA3" w14:textId="77777777" w:rsidR="00E015D6" w:rsidRDefault="00E015D6" w:rsidP="00E015D6">
      <w:pPr>
        <w:shd w:val="clear" w:color="auto" w:fill="FFFFFF"/>
        <w:spacing w:after="120"/>
        <w:ind w:left="720"/>
        <w:jc w:val="both"/>
        <w:rPr>
          <w:rFonts w:ascii="Times Roman" w:hAnsi="Times Roman"/>
          <w:lang w:val="en-GB"/>
        </w:rPr>
      </w:pPr>
    </w:p>
    <w:p w14:paraId="2A8C23E2" w14:textId="5D49528B" w:rsidR="00CE5E9F" w:rsidRDefault="00CE5E9F" w:rsidP="00CE5E9F">
      <w:pPr>
        <w:pStyle w:val="Heading4"/>
        <w:ind w:firstLine="720"/>
        <w:rPr>
          <w:color w:val="auto"/>
          <w:lang w:val="en-GB"/>
        </w:rPr>
      </w:pPr>
      <w:bookmarkStart w:id="22" w:name="_Toc411860399"/>
      <w:r w:rsidRPr="00CE5E9F">
        <w:rPr>
          <w:color w:val="auto"/>
          <w:lang w:val="en-GB"/>
        </w:rPr>
        <w:t>Conflict of Interest</w:t>
      </w:r>
      <w:bookmarkEnd w:id="22"/>
      <w:r w:rsidRPr="00CE5E9F">
        <w:rPr>
          <w:color w:val="auto"/>
          <w:lang w:val="en-GB"/>
        </w:rPr>
        <w:t xml:space="preserve">  </w:t>
      </w:r>
    </w:p>
    <w:p w14:paraId="60F0763C" w14:textId="77777777" w:rsidR="00CE5E9F" w:rsidRPr="00CE5E9F" w:rsidRDefault="00CE5E9F" w:rsidP="00CE5E9F">
      <w:pPr>
        <w:rPr>
          <w:lang w:val="en-GB"/>
        </w:rPr>
      </w:pPr>
    </w:p>
    <w:p w14:paraId="60BFBBB8" w14:textId="7661BD04" w:rsidR="00CE5E9F" w:rsidRDefault="00CE5E9F"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The rights, duties and obligations of a rece</w:t>
      </w:r>
      <w:r w:rsidR="00511D93">
        <w:rPr>
          <w:rFonts w:ascii="Times Roman" w:hAnsi="Times Roman"/>
          <w:lang w:val="en-GB"/>
        </w:rPr>
        <w:t>iver were set out in Exhibit 13</w:t>
      </w:r>
      <w:r w:rsidR="00C34D56">
        <w:rPr>
          <w:rFonts w:ascii="Times Roman" w:hAnsi="Times Roman"/>
          <w:lang w:val="en-GB"/>
        </w:rPr>
        <w:t xml:space="preserve">. A receiver is to act as an officer of the court and owes a fiduciary duty to all of the </w:t>
      </w:r>
      <w:r w:rsidR="00C34D56">
        <w:rPr>
          <w:rFonts w:ascii="Times Roman" w:hAnsi="Times Roman"/>
          <w:lang w:val="en-GB"/>
        </w:rPr>
        <w:lastRenderedPageBreak/>
        <w:t>stakeholders. In this case, the stakeholders included the secured creditors, the unsecured creditors, the debtor company and the homeowners.</w:t>
      </w:r>
      <w:r w:rsidR="00271F75">
        <w:rPr>
          <w:rFonts w:ascii="Times Roman" w:hAnsi="Times Roman"/>
          <w:lang w:val="en-GB"/>
        </w:rPr>
        <w:t xml:space="preserve"> As Mr. </w:t>
      </w:r>
      <w:r w:rsidR="00C34D56">
        <w:rPr>
          <w:rFonts w:ascii="Times Roman" w:hAnsi="Times Roman"/>
          <w:lang w:val="en-GB"/>
        </w:rPr>
        <w:t>Thompson understands it, “anyone impacted by the receivership would be a stakeholder”.</w:t>
      </w:r>
      <w:r w:rsidR="00C34D56">
        <w:rPr>
          <w:rStyle w:val="FootnoteReference"/>
          <w:rFonts w:ascii="Times Roman" w:hAnsi="Times Roman"/>
          <w:lang w:val="en-GB"/>
        </w:rPr>
        <w:footnoteReference w:id="68"/>
      </w:r>
    </w:p>
    <w:p w14:paraId="534EAE47" w14:textId="0B32577A" w:rsidR="006B7F06" w:rsidRDefault="006B7F0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Receivers are further expected to act with utmost good faith, complete disclosure and scrupulous avoidance of conflict of interest towards all parties to a receivership or bankruptcy and to act in the best interests of all parties. </w:t>
      </w:r>
    </w:p>
    <w:p w14:paraId="06575A32" w14:textId="02BB9177" w:rsidR="003B782D" w:rsidRDefault="00526D88"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G</w:t>
      </w:r>
      <w:r w:rsidR="00F33320">
        <w:rPr>
          <w:rFonts w:ascii="Times Roman" w:hAnsi="Times Roman"/>
          <w:lang w:val="en-GB"/>
        </w:rPr>
        <w:t>TL</w:t>
      </w:r>
      <w:r>
        <w:rPr>
          <w:rFonts w:ascii="Times Roman" w:hAnsi="Times Roman"/>
          <w:lang w:val="en-GB"/>
        </w:rPr>
        <w:t xml:space="preserve"> did not abide by their legislative duties as a neutral arbitrator and trustee. </w:t>
      </w:r>
      <w:r w:rsidR="00511D93">
        <w:rPr>
          <w:rFonts w:ascii="Times Roman" w:hAnsi="Times Roman"/>
          <w:lang w:val="en-GB"/>
        </w:rPr>
        <w:t>G</w:t>
      </w:r>
      <w:r w:rsidR="00F33320">
        <w:rPr>
          <w:rFonts w:ascii="Times Roman" w:hAnsi="Times Roman"/>
          <w:lang w:val="en-GB"/>
        </w:rPr>
        <w:t>TL</w:t>
      </w:r>
      <w:r w:rsidR="003B782D">
        <w:rPr>
          <w:rFonts w:ascii="Times Roman" w:hAnsi="Times Roman"/>
          <w:lang w:val="en-GB"/>
        </w:rPr>
        <w:t xml:space="preserve"> was </w:t>
      </w:r>
      <w:r w:rsidR="004C10BF">
        <w:rPr>
          <w:rFonts w:ascii="Times Roman" w:hAnsi="Times Roman"/>
          <w:lang w:val="en-GB"/>
        </w:rPr>
        <w:t>originally retained</w:t>
      </w:r>
      <w:r w:rsidR="003B782D">
        <w:rPr>
          <w:rFonts w:ascii="Times Roman" w:hAnsi="Times Roman"/>
          <w:lang w:val="en-GB"/>
        </w:rPr>
        <w:t xml:space="preserve"> by C1. </w:t>
      </w:r>
      <w:r w:rsidR="00A461DD">
        <w:rPr>
          <w:rFonts w:ascii="Times Roman" w:hAnsi="Times Roman"/>
          <w:lang w:val="en-GB"/>
        </w:rPr>
        <w:t>G</w:t>
      </w:r>
      <w:r w:rsidR="00F33320">
        <w:rPr>
          <w:rFonts w:ascii="Times Roman" w:hAnsi="Times Roman"/>
          <w:lang w:val="en-GB"/>
        </w:rPr>
        <w:t>TL</w:t>
      </w:r>
      <w:r w:rsidR="00A461DD">
        <w:rPr>
          <w:rFonts w:ascii="Times Roman" w:hAnsi="Times Roman"/>
          <w:lang w:val="en-GB"/>
        </w:rPr>
        <w:t xml:space="preserve"> borrowed up to 1.5 million </w:t>
      </w:r>
      <w:r w:rsidR="003B782D">
        <w:rPr>
          <w:rFonts w:ascii="Times Roman" w:hAnsi="Times Roman"/>
          <w:lang w:val="en-GB"/>
        </w:rPr>
        <w:t xml:space="preserve">dollars </w:t>
      </w:r>
      <w:r w:rsidR="00A461DD">
        <w:rPr>
          <w:rFonts w:ascii="Times Roman" w:hAnsi="Times Roman"/>
          <w:lang w:val="en-GB"/>
        </w:rPr>
        <w:t xml:space="preserve">from C1 </w:t>
      </w:r>
      <w:r w:rsidR="003B782D">
        <w:rPr>
          <w:rFonts w:ascii="Times Roman" w:hAnsi="Times Roman"/>
          <w:lang w:val="en-GB"/>
        </w:rPr>
        <w:t xml:space="preserve">so </w:t>
      </w:r>
      <w:r w:rsidR="00C06BCC">
        <w:rPr>
          <w:rFonts w:ascii="Times Roman" w:hAnsi="Times Roman"/>
          <w:lang w:val="en-GB"/>
        </w:rPr>
        <w:t>that they were paid while they executed their duties</w:t>
      </w:r>
      <w:r w:rsidR="00A461DD">
        <w:rPr>
          <w:rFonts w:ascii="Times Roman" w:hAnsi="Times Roman"/>
          <w:lang w:val="en-GB"/>
        </w:rPr>
        <w:t xml:space="preserve"> a</w:t>
      </w:r>
      <w:r w:rsidR="00F33320">
        <w:rPr>
          <w:rFonts w:ascii="Times Roman" w:hAnsi="Times Roman"/>
          <w:lang w:val="en-GB"/>
        </w:rPr>
        <w:t>s</w:t>
      </w:r>
      <w:r w:rsidR="00A461DD">
        <w:rPr>
          <w:rFonts w:ascii="Times Roman" w:hAnsi="Times Roman"/>
          <w:lang w:val="en-GB"/>
        </w:rPr>
        <w:t xml:space="preserve"> receiver</w:t>
      </w:r>
      <w:r w:rsidR="004C7B25">
        <w:rPr>
          <w:rFonts w:ascii="Times Roman" w:hAnsi="Times Roman"/>
          <w:lang w:val="en-GB"/>
        </w:rPr>
        <w:t>.</w:t>
      </w:r>
      <w:r w:rsidR="004C7B25">
        <w:rPr>
          <w:rStyle w:val="FootnoteReference"/>
          <w:rFonts w:ascii="Times Roman" w:hAnsi="Times Roman"/>
          <w:lang w:val="en-GB"/>
        </w:rPr>
        <w:footnoteReference w:id="69"/>
      </w:r>
      <w:r w:rsidR="003B782D">
        <w:rPr>
          <w:rFonts w:ascii="Times Roman" w:hAnsi="Times Roman"/>
          <w:lang w:val="en-GB"/>
        </w:rPr>
        <w:t xml:space="preserve"> </w:t>
      </w:r>
      <w:r w:rsidR="00F33320">
        <w:rPr>
          <w:rFonts w:ascii="Times Roman" w:hAnsi="Times Roman"/>
          <w:lang w:val="en-GB"/>
        </w:rPr>
        <w:t>Thomson conceded that GTL had been retained and working for C1 even before their appointment as Receiver though he could not say how much GTL was paid for its pre-receivership work.</w:t>
      </w:r>
      <w:r w:rsidR="00D62FC4">
        <w:rPr>
          <w:rStyle w:val="FootnoteReference"/>
          <w:rFonts w:ascii="Times Roman" w:hAnsi="Times Roman"/>
          <w:lang w:val="en-GB"/>
        </w:rPr>
        <w:footnoteReference w:id="70"/>
      </w:r>
      <w:r w:rsidR="00F33320">
        <w:rPr>
          <w:rFonts w:ascii="Times Roman" w:hAnsi="Times Roman"/>
          <w:lang w:val="en-GB"/>
        </w:rPr>
        <w:t xml:space="preserve"> </w:t>
      </w:r>
      <w:r w:rsidR="00A461DD">
        <w:rPr>
          <w:rFonts w:ascii="Times Roman" w:hAnsi="Times Roman"/>
          <w:lang w:val="en-GB"/>
        </w:rPr>
        <w:t>G</w:t>
      </w:r>
      <w:r w:rsidR="00F33320">
        <w:rPr>
          <w:rFonts w:ascii="Times Roman" w:hAnsi="Times Roman"/>
          <w:lang w:val="en-GB"/>
        </w:rPr>
        <w:t>TL</w:t>
      </w:r>
      <w:r w:rsidR="00A461DD">
        <w:rPr>
          <w:rFonts w:ascii="Times Roman" w:hAnsi="Times Roman"/>
          <w:lang w:val="en-GB"/>
        </w:rPr>
        <w:t xml:space="preserve"> </w:t>
      </w:r>
      <w:r w:rsidR="00F33320">
        <w:rPr>
          <w:rFonts w:ascii="Times Roman" w:hAnsi="Times Roman"/>
          <w:lang w:val="en-GB"/>
        </w:rPr>
        <w:t>orchestrated the sale of</w:t>
      </w:r>
      <w:r w:rsidR="00A461DD">
        <w:rPr>
          <w:rFonts w:ascii="Times Roman" w:hAnsi="Times Roman"/>
          <w:lang w:val="en-GB"/>
        </w:rPr>
        <w:t xml:space="preserve"> the </w:t>
      </w:r>
      <w:r w:rsidR="00F33320">
        <w:rPr>
          <w:rFonts w:ascii="Times Roman" w:hAnsi="Times Roman"/>
          <w:lang w:val="en-GB"/>
        </w:rPr>
        <w:t>$</w:t>
      </w:r>
      <w:r w:rsidR="00A461DD">
        <w:rPr>
          <w:rFonts w:ascii="Times Roman" w:hAnsi="Times Roman"/>
          <w:lang w:val="en-GB"/>
        </w:rPr>
        <w:t>50 million dollar claim</w:t>
      </w:r>
      <w:r w:rsidR="009770A1">
        <w:rPr>
          <w:rFonts w:ascii="Times Roman" w:hAnsi="Times Roman"/>
          <w:lang w:val="en-GB"/>
        </w:rPr>
        <w:t xml:space="preserve"> (Exhibit 15)</w:t>
      </w:r>
      <w:r w:rsidR="00A461DD">
        <w:rPr>
          <w:rFonts w:ascii="Times Roman" w:hAnsi="Times Roman"/>
          <w:lang w:val="en-GB"/>
        </w:rPr>
        <w:t xml:space="preserve"> to </w:t>
      </w:r>
      <w:r w:rsidR="00F33320">
        <w:rPr>
          <w:rFonts w:ascii="Times Roman" w:hAnsi="Times Roman"/>
          <w:lang w:val="en-GB"/>
        </w:rPr>
        <w:t>C</w:t>
      </w:r>
      <w:r w:rsidR="00A461DD">
        <w:rPr>
          <w:rFonts w:ascii="Times Roman" w:hAnsi="Times Roman"/>
          <w:lang w:val="en-GB"/>
        </w:rPr>
        <w:t>1, notwithstanding that C1 was the named defendant</w:t>
      </w:r>
      <w:r w:rsidR="00290C58">
        <w:rPr>
          <w:rFonts w:ascii="Times Roman" w:hAnsi="Times Roman"/>
          <w:lang w:val="en-GB"/>
        </w:rPr>
        <w:t xml:space="preserve"> and that it </w:t>
      </w:r>
      <w:r w:rsidR="00F33320">
        <w:rPr>
          <w:rFonts w:ascii="Times Roman" w:hAnsi="Times Roman"/>
          <w:lang w:val="en-GB"/>
        </w:rPr>
        <w:t>may have been</w:t>
      </w:r>
      <w:r w:rsidR="00290C58">
        <w:rPr>
          <w:rFonts w:ascii="Times Roman" w:hAnsi="Times Roman"/>
          <w:lang w:val="en-GB"/>
        </w:rPr>
        <w:t xml:space="preserve"> in the interests of the other stakeholders to sell it to a</w:t>
      </w:r>
      <w:r w:rsidR="00F33320">
        <w:rPr>
          <w:rFonts w:ascii="Times Roman" w:hAnsi="Times Roman"/>
          <w:lang w:val="en-GB"/>
        </w:rPr>
        <w:t xml:space="preserve"> party interested in pursuing rather than abandoning the claim</w:t>
      </w:r>
      <w:r>
        <w:rPr>
          <w:rFonts w:ascii="Times Roman" w:hAnsi="Times Roman"/>
          <w:lang w:val="en-GB"/>
        </w:rPr>
        <w:t>.</w:t>
      </w:r>
      <w:r>
        <w:rPr>
          <w:rStyle w:val="FootnoteReference"/>
          <w:rFonts w:ascii="Times Roman" w:hAnsi="Times Roman"/>
          <w:lang w:val="en-GB"/>
        </w:rPr>
        <w:footnoteReference w:id="71"/>
      </w:r>
      <w:r w:rsidR="00F33320">
        <w:rPr>
          <w:rFonts w:ascii="Times Roman" w:hAnsi="Times Roman"/>
          <w:lang w:val="en-GB"/>
        </w:rPr>
        <w:t xml:space="preserve"> Similarly, UM’s mortgage portfolio was sold to C1 seemingly without any regard to the importance of finding a new sharia-compliant financial entity willing to manage the portfolio in a manner consistent with the original intent of the homeowners – a key stakeholder group.</w:t>
      </w:r>
    </w:p>
    <w:p w14:paraId="522A1854" w14:textId="6D706C00" w:rsidR="00526D88" w:rsidRDefault="003B782D"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It is</w:t>
      </w:r>
      <w:r w:rsidR="00526D88">
        <w:rPr>
          <w:rFonts w:ascii="Times Roman" w:hAnsi="Times Roman"/>
          <w:lang w:val="en-GB"/>
        </w:rPr>
        <w:t xml:space="preserve"> clear that G</w:t>
      </w:r>
      <w:r w:rsidR="00F33320">
        <w:rPr>
          <w:rFonts w:ascii="Times Roman" w:hAnsi="Times Roman"/>
          <w:lang w:val="en-GB"/>
        </w:rPr>
        <w:t>T</w:t>
      </w:r>
      <w:r w:rsidR="004C10BF">
        <w:rPr>
          <w:rFonts w:ascii="Times Roman" w:hAnsi="Times Roman"/>
          <w:lang w:val="en-GB"/>
        </w:rPr>
        <w:t>L</w:t>
      </w:r>
      <w:r w:rsidR="00F33320">
        <w:rPr>
          <w:rFonts w:ascii="Times Roman" w:hAnsi="Times Roman"/>
          <w:lang w:val="en-GB"/>
        </w:rPr>
        <w:t xml:space="preserve"> corporately,</w:t>
      </w:r>
      <w:r w:rsidR="00526D88">
        <w:rPr>
          <w:rFonts w:ascii="Times Roman" w:hAnsi="Times Roman"/>
          <w:lang w:val="en-GB"/>
        </w:rPr>
        <w:t xml:space="preserve"> and Mr. Thompson </w:t>
      </w:r>
      <w:r w:rsidR="00F33320">
        <w:rPr>
          <w:rFonts w:ascii="Times Roman" w:hAnsi="Times Roman"/>
          <w:lang w:val="en-GB"/>
        </w:rPr>
        <w:t xml:space="preserve">personally, perceived </w:t>
      </w:r>
      <w:r w:rsidR="00327093">
        <w:rPr>
          <w:rFonts w:ascii="Times Roman" w:hAnsi="Times Roman"/>
          <w:lang w:val="en-GB"/>
        </w:rPr>
        <w:t>their</w:t>
      </w:r>
      <w:r w:rsidR="00F33320">
        <w:rPr>
          <w:rFonts w:ascii="Times Roman" w:hAnsi="Times Roman"/>
          <w:lang w:val="en-GB"/>
        </w:rPr>
        <w:t xml:space="preserve"> sole </w:t>
      </w:r>
      <w:r w:rsidR="00327093">
        <w:rPr>
          <w:rFonts w:ascii="Times Roman" w:hAnsi="Times Roman"/>
          <w:lang w:val="en-GB"/>
        </w:rPr>
        <w:t xml:space="preserve">loyalty </w:t>
      </w:r>
      <w:r w:rsidR="00F33320">
        <w:rPr>
          <w:rFonts w:ascii="Times Roman" w:hAnsi="Times Roman"/>
          <w:lang w:val="en-GB"/>
        </w:rPr>
        <w:t>as being to C</w:t>
      </w:r>
      <w:r w:rsidR="00327093">
        <w:rPr>
          <w:rFonts w:ascii="Times Roman" w:hAnsi="Times Roman"/>
          <w:lang w:val="en-GB"/>
        </w:rPr>
        <w:t xml:space="preserve">1. </w:t>
      </w:r>
    </w:p>
    <w:p w14:paraId="0C456BD1" w14:textId="7889F2F0" w:rsidR="00327093" w:rsidRDefault="00511D93"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homeowners were </w:t>
      </w:r>
      <w:r w:rsidR="00F33320">
        <w:rPr>
          <w:rFonts w:ascii="Times Roman" w:hAnsi="Times Roman"/>
          <w:lang w:val="en-GB"/>
        </w:rPr>
        <w:t xml:space="preserve">clearly </w:t>
      </w:r>
      <w:r>
        <w:rPr>
          <w:rFonts w:ascii="Times Roman" w:hAnsi="Times Roman"/>
          <w:lang w:val="en-GB"/>
        </w:rPr>
        <w:t>a very important stakeholder in the receivership.</w:t>
      </w:r>
      <w:r w:rsidR="00F33320">
        <w:rPr>
          <w:rFonts w:ascii="Times Roman" w:hAnsi="Times Roman"/>
          <w:lang w:val="en-GB"/>
        </w:rPr>
        <w:t xml:space="preserve"> UM’s collapse had the potential to jeopardize what was, for most, their single largest personal asset – their homes.</w:t>
      </w:r>
      <w:r>
        <w:rPr>
          <w:rFonts w:ascii="Times Roman" w:hAnsi="Times Roman"/>
          <w:lang w:val="en-GB"/>
        </w:rPr>
        <w:t xml:space="preserve"> Although Mr. Thompson </w:t>
      </w:r>
      <w:r w:rsidR="00F33320">
        <w:rPr>
          <w:rFonts w:ascii="Times Roman" w:hAnsi="Times Roman"/>
          <w:lang w:val="en-GB"/>
        </w:rPr>
        <w:t>claims to have</w:t>
      </w:r>
      <w:r>
        <w:rPr>
          <w:rFonts w:ascii="Times Roman" w:hAnsi="Times Roman"/>
          <w:lang w:val="en-GB"/>
        </w:rPr>
        <w:t xml:space="preserve"> listened to the</w:t>
      </w:r>
      <w:r w:rsidR="00F33320">
        <w:rPr>
          <w:rFonts w:ascii="Times Roman" w:hAnsi="Times Roman"/>
          <w:lang w:val="en-GB"/>
        </w:rPr>
        <w:t xml:space="preserve"> concerns of</w:t>
      </w:r>
      <w:r>
        <w:rPr>
          <w:rFonts w:ascii="Times Roman" w:hAnsi="Times Roman"/>
          <w:lang w:val="en-GB"/>
        </w:rPr>
        <w:t xml:space="preserve"> homeowners intently, he was </w:t>
      </w:r>
      <w:r w:rsidR="00F33320">
        <w:rPr>
          <w:rFonts w:ascii="Times Roman" w:hAnsi="Times Roman"/>
          <w:lang w:val="en-GB"/>
        </w:rPr>
        <w:t>completely unable t</w:t>
      </w:r>
      <w:r w:rsidR="002B1F06">
        <w:rPr>
          <w:rFonts w:ascii="Times Roman" w:hAnsi="Times Roman"/>
          <w:lang w:val="en-GB"/>
        </w:rPr>
        <w:t xml:space="preserve">o comprehend or articulate their fears that </w:t>
      </w:r>
      <w:r>
        <w:rPr>
          <w:rFonts w:ascii="Times Roman" w:hAnsi="Times Roman"/>
          <w:lang w:val="en-GB"/>
        </w:rPr>
        <w:t xml:space="preserve">the appointment of the receiver </w:t>
      </w:r>
      <w:r w:rsidR="002B1F06">
        <w:rPr>
          <w:rFonts w:ascii="Times Roman" w:hAnsi="Times Roman"/>
          <w:lang w:val="en-GB"/>
        </w:rPr>
        <w:t xml:space="preserve">could negatively affect the sharia </w:t>
      </w:r>
      <w:r w:rsidR="002B1F06">
        <w:rPr>
          <w:rFonts w:ascii="Times Roman" w:hAnsi="Times Roman"/>
          <w:lang w:val="en-GB"/>
        </w:rPr>
        <w:lastRenderedPageBreak/>
        <w:t>compliance of their mortgages.</w:t>
      </w:r>
      <w:r>
        <w:rPr>
          <w:rStyle w:val="FootnoteReference"/>
          <w:rFonts w:ascii="Times Roman" w:hAnsi="Times Roman"/>
          <w:lang w:val="en-GB"/>
        </w:rPr>
        <w:footnoteReference w:id="72"/>
      </w:r>
      <w:r>
        <w:rPr>
          <w:rFonts w:ascii="Times Roman" w:hAnsi="Times Roman"/>
          <w:lang w:val="en-GB"/>
        </w:rPr>
        <w:t xml:space="preserve"> </w:t>
      </w:r>
      <w:r w:rsidR="002B1F06">
        <w:rPr>
          <w:rFonts w:ascii="Times Roman" w:hAnsi="Times Roman"/>
          <w:lang w:val="en-GB"/>
        </w:rPr>
        <w:t>GTL</w:t>
      </w:r>
      <w:r w:rsidR="004C10BF">
        <w:rPr>
          <w:rFonts w:ascii="Times Roman" w:hAnsi="Times Roman"/>
          <w:lang w:val="en-GB"/>
        </w:rPr>
        <w:t>’</w:t>
      </w:r>
      <w:r w:rsidR="002B1F06">
        <w:rPr>
          <w:rFonts w:ascii="Times Roman" w:hAnsi="Times Roman"/>
          <w:lang w:val="en-GB"/>
        </w:rPr>
        <w:t>s interest in the homeowners went no further than what was required to maximize value for the entity they perceived as their real</w:t>
      </w:r>
      <w:r w:rsidR="004C10BF">
        <w:rPr>
          <w:rFonts w:ascii="Times Roman" w:hAnsi="Times Roman"/>
          <w:lang w:val="en-GB"/>
        </w:rPr>
        <w:t xml:space="preserve"> and only</w:t>
      </w:r>
      <w:r w:rsidR="002B1F06">
        <w:rPr>
          <w:rFonts w:ascii="Times Roman" w:hAnsi="Times Roman"/>
          <w:lang w:val="en-GB"/>
        </w:rPr>
        <w:t xml:space="preserve"> client – C1. </w:t>
      </w:r>
    </w:p>
    <w:p w14:paraId="3C941B5B" w14:textId="5737A627" w:rsidR="00327093" w:rsidRDefault="00327093"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Mr. Thompson acknowledged that UM was not a traditional residential mortgage business but rather a Sharia compliant mortgage business.</w:t>
      </w:r>
      <w:r>
        <w:rPr>
          <w:rStyle w:val="FootnoteReference"/>
          <w:rFonts w:ascii="Times Roman" w:hAnsi="Times Roman"/>
          <w:lang w:val="en-GB"/>
        </w:rPr>
        <w:footnoteReference w:id="73"/>
      </w:r>
      <w:r>
        <w:rPr>
          <w:rFonts w:ascii="Times Roman" w:hAnsi="Times Roman"/>
          <w:lang w:val="en-GB"/>
        </w:rPr>
        <w:t xml:space="preserve"> However, G</w:t>
      </w:r>
      <w:r w:rsidR="002B1F06">
        <w:rPr>
          <w:rFonts w:ascii="Times Roman" w:hAnsi="Times Roman"/>
          <w:lang w:val="en-GB"/>
        </w:rPr>
        <w:t>TL</w:t>
      </w:r>
      <w:r>
        <w:rPr>
          <w:rFonts w:ascii="Times Roman" w:hAnsi="Times Roman"/>
          <w:lang w:val="en-GB"/>
        </w:rPr>
        <w:t xml:space="preserve"> admittedly took no steps to consult with the existing SEB members or independent Sharia experts in order to understand the nature of UM’s business.</w:t>
      </w:r>
      <w:r>
        <w:rPr>
          <w:rStyle w:val="FootnoteReference"/>
          <w:rFonts w:ascii="Times Roman" w:hAnsi="Times Roman"/>
          <w:lang w:val="en-GB"/>
        </w:rPr>
        <w:footnoteReference w:id="74"/>
      </w:r>
      <w:r>
        <w:rPr>
          <w:rFonts w:ascii="Times Roman" w:hAnsi="Times Roman"/>
          <w:lang w:val="en-GB"/>
        </w:rPr>
        <w:t xml:space="preserve"> Mr. Thompson’s explanation was eerily </w:t>
      </w:r>
      <w:r w:rsidR="004C10BF">
        <w:rPr>
          <w:rFonts w:ascii="Times Roman" w:hAnsi="Times Roman"/>
          <w:lang w:val="en-GB"/>
        </w:rPr>
        <w:t>similar</w:t>
      </w:r>
      <w:r>
        <w:rPr>
          <w:rFonts w:ascii="Times Roman" w:hAnsi="Times Roman"/>
          <w:lang w:val="en-GB"/>
        </w:rPr>
        <w:t xml:space="preserve"> to that of Ms. Sacco:</w:t>
      </w:r>
    </w:p>
    <w:p w14:paraId="105316E1" w14:textId="5CEA2F97" w:rsidR="00327093" w:rsidRPr="00327093" w:rsidRDefault="00327093" w:rsidP="00327093">
      <w:pPr>
        <w:shd w:val="clear" w:color="auto" w:fill="FFFFFF"/>
        <w:spacing w:after="120" w:line="360" w:lineRule="auto"/>
        <w:ind w:left="720"/>
        <w:jc w:val="both"/>
        <w:rPr>
          <w:rFonts w:ascii="Times Roman" w:hAnsi="Times Roman"/>
          <w:lang w:val="en-GB"/>
        </w:rPr>
      </w:pPr>
      <w:r>
        <w:rPr>
          <w:rFonts w:ascii="Times Roman" w:hAnsi="Times Roman"/>
          <w:lang w:val="en-GB"/>
        </w:rPr>
        <w:t>“…But it seems to me that, since it is Canadian law, there might be no reason to consult with Sharia experts, because we are not Sharia experts, and the law at hand for the receivership is Canadian law.”</w:t>
      </w:r>
      <w:r>
        <w:rPr>
          <w:rStyle w:val="FootnoteReference"/>
          <w:rFonts w:ascii="Times Roman" w:hAnsi="Times Roman"/>
          <w:lang w:val="en-GB"/>
        </w:rPr>
        <w:footnoteReference w:id="75"/>
      </w:r>
    </w:p>
    <w:p w14:paraId="31928C60" w14:textId="7540F510" w:rsidR="009B1EAB" w:rsidRDefault="009955D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MCC was left to their own devices and retained legal counsel for the purpose of providing the court with a Sharia perspective during the receivership process. </w:t>
      </w:r>
      <w:r w:rsidR="009770A1">
        <w:rPr>
          <w:rFonts w:ascii="Times Roman" w:hAnsi="Times Roman"/>
          <w:lang w:val="en-GB"/>
        </w:rPr>
        <w:t>The true</w:t>
      </w:r>
      <w:r w:rsidR="003B782D">
        <w:rPr>
          <w:rFonts w:ascii="Times Roman" w:hAnsi="Times Roman"/>
          <w:lang w:val="en-GB"/>
        </w:rPr>
        <w:t xml:space="preserve"> interests of the homeowners and</w:t>
      </w:r>
      <w:r w:rsidR="009770A1">
        <w:rPr>
          <w:rFonts w:ascii="Times Roman" w:hAnsi="Times Roman"/>
          <w:lang w:val="en-GB"/>
        </w:rPr>
        <w:t xml:space="preserve"> the SEB were</w:t>
      </w:r>
      <w:r w:rsidR="009B1EAB">
        <w:rPr>
          <w:rFonts w:ascii="Times Roman" w:hAnsi="Times Roman"/>
          <w:lang w:val="en-GB"/>
        </w:rPr>
        <w:t xml:space="preserve"> not</w:t>
      </w:r>
      <w:r w:rsidR="009770A1">
        <w:rPr>
          <w:rFonts w:ascii="Times Roman" w:hAnsi="Times Roman"/>
          <w:lang w:val="en-GB"/>
        </w:rPr>
        <w:t xml:space="preserve"> heard, considered</w:t>
      </w:r>
      <w:r w:rsidR="009B1EAB">
        <w:rPr>
          <w:rFonts w:ascii="Times Roman" w:hAnsi="Times Roman"/>
          <w:lang w:val="en-GB"/>
        </w:rPr>
        <w:t xml:space="preserve"> or defended by G</w:t>
      </w:r>
      <w:r w:rsidR="002B1F06">
        <w:rPr>
          <w:rFonts w:ascii="Times Roman" w:hAnsi="Times Roman"/>
          <w:lang w:val="en-GB"/>
        </w:rPr>
        <w:t>TL</w:t>
      </w:r>
      <w:r w:rsidR="009B1EAB">
        <w:rPr>
          <w:rFonts w:ascii="Times Roman" w:hAnsi="Times Roman"/>
          <w:lang w:val="en-GB"/>
        </w:rPr>
        <w:t xml:space="preserve"> and the unique Sharia component of UM was entirely ignored. G</w:t>
      </w:r>
      <w:r w:rsidR="002B1F06">
        <w:rPr>
          <w:rFonts w:ascii="Times Roman" w:hAnsi="Times Roman"/>
          <w:lang w:val="en-GB"/>
        </w:rPr>
        <w:t>TL</w:t>
      </w:r>
      <w:r w:rsidR="009B1EAB">
        <w:rPr>
          <w:rFonts w:ascii="Times Roman" w:hAnsi="Times Roman"/>
          <w:lang w:val="en-GB"/>
        </w:rPr>
        <w:t xml:space="preserve"> made n</w:t>
      </w:r>
      <w:r w:rsidR="003B782D">
        <w:rPr>
          <w:rFonts w:ascii="Times Roman" w:hAnsi="Times Roman"/>
          <w:lang w:val="en-GB"/>
        </w:rPr>
        <w:t>o effort to “step into the shoes</w:t>
      </w:r>
      <w:r w:rsidR="009B1EAB">
        <w:rPr>
          <w:rFonts w:ascii="Times Roman" w:hAnsi="Times Roman"/>
          <w:lang w:val="en-GB"/>
        </w:rPr>
        <w:t xml:space="preserve"> of the debtor company”. </w:t>
      </w:r>
      <w:r w:rsidR="002B1F06">
        <w:rPr>
          <w:rFonts w:ascii="Times Roman" w:hAnsi="Times Roman"/>
          <w:lang w:val="en-GB"/>
        </w:rPr>
        <w:t>It never even made a passing attempt to understand the core of UM’s business – sharia compliant financing – nor the unique needs of the homeowners.</w:t>
      </w:r>
    </w:p>
    <w:p w14:paraId="37CA931E" w14:textId="77777777" w:rsidR="003B782D" w:rsidRDefault="003B782D" w:rsidP="003B782D">
      <w:pPr>
        <w:pStyle w:val="ListParagraph"/>
        <w:shd w:val="clear" w:color="auto" w:fill="FFFFFF"/>
        <w:spacing w:after="120" w:line="360" w:lineRule="auto"/>
        <w:contextualSpacing w:val="0"/>
        <w:jc w:val="both"/>
        <w:rPr>
          <w:rFonts w:ascii="Times Roman" w:hAnsi="Times Roman"/>
          <w:lang w:val="en-GB"/>
        </w:rPr>
      </w:pPr>
    </w:p>
    <w:p w14:paraId="061B73B1" w14:textId="77777777" w:rsidR="002B1F06" w:rsidRDefault="003B782D" w:rsidP="003B782D">
      <w:pPr>
        <w:pStyle w:val="Heading4"/>
        <w:ind w:firstLine="720"/>
        <w:rPr>
          <w:color w:val="auto"/>
          <w:lang w:val="en-GB"/>
        </w:rPr>
      </w:pPr>
      <w:bookmarkStart w:id="23" w:name="_Toc411860400"/>
      <w:r w:rsidRPr="003B782D">
        <w:rPr>
          <w:color w:val="auto"/>
          <w:lang w:val="en-GB"/>
        </w:rPr>
        <w:t>Credibility</w:t>
      </w:r>
      <w:bookmarkEnd w:id="23"/>
    </w:p>
    <w:p w14:paraId="5B8120E1" w14:textId="580655EE" w:rsidR="003B782D" w:rsidRPr="003B782D" w:rsidRDefault="003B782D" w:rsidP="003B782D">
      <w:pPr>
        <w:pStyle w:val="Heading4"/>
        <w:ind w:firstLine="720"/>
        <w:rPr>
          <w:color w:val="auto"/>
          <w:lang w:val="en-GB"/>
        </w:rPr>
      </w:pPr>
      <w:r w:rsidRPr="003B782D">
        <w:rPr>
          <w:color w:val="auto"/>
          <w:lang w:val="en-GB"/>
        </w:rPr>
        <w:t xml:space="preserve"> </w:t>
      </w:r>
    </w:p>
    <w:p w14:paraId="30462104" w14:textId="1D1D8944" w:rsidR="003B782D" w:rsidRDefault="002B1F0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Thompson’s combative and adversarial demeanour undermines his credibility and usefulness as a witness. The damage is compounded by Thompson’s own admission that his testimony </w:t>
      </w:r>
      <w:r w:rsidR="00C06BCC">
        <w:rPr>
          <w:rFonts w:ascii="Times Roman" w:hAnsi="Times Roman"/>
          <w:lang w:val="en-GB"/>
        </w:rPr>
        <w:t xml:space="preserve">was limited to reading a document and confirming what is says. </w:t>
      </w:r>
      <w:r w:rsidR="009D3109">
        <w:rPr>
          <w:rFonts w:ascii="Times Roman" w:hAnsi="Times Roman"/>
          <w:lang w:val="en-GB"/>
        </w:rPr>
        <w:t xml:space="preserve">It appeared </w:t>
      </w:r>
      <w:r w:rsidR="009D3109">
        <w:rPr>
          <w:rFonts w:ascii="Times Roman" w:hAnsi="Times Roman"/>
          <w:lang w:val="en-GB"/>
        </w:rPr>
        <w:lastRenderedPageBreak/>
        <w:t>that he had no independent recollection of the events that took place seven years prior to his testimony.</w:t>
      </w:r>
      <w:r w:rsidR="009D3109">
        <w:rPr>
          <w:rStyle w:val="FootnoteReference"/>
          <w:rFonts w:ascii="Times Roman" w:hAnsi="Times Roman"/>
          <w:lang w:val="en-GB"/>
        </w:rPr>
        <w:footnoteReference w:id="76"/>
      </w:r>
      <w:r w:rsidR="009D3109">
        <w:rPr>
          <w:rFonts w:ascii="Times Roman" w:hAnsi="Times Roman"/>
          <w:lang w:val="en-GB"/>
        </w:rPr>
        <w:t xml:space="preserve"> </w:t>
      </w:r>
    </w:p>
    <w:p w14:paraId="290D034F" w14:textId="16E96BF2" w:rsidR="009D3109" w:rsidRDefault="009D3109"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In fairness to </w:t>
      </w:r>
      <w:r w:rsidR="003B782D">
        <w:rPr>
          <w:rFonts w:ascii="Times Roman" w:hAnsi="Times Roman"/>
          <w:lang w:val="en-GB"/>
        </w:rPr>
        <w:t>him</w:t>
      </w:r>
      <w:r>
        <w:rPr>
          <w:rFonts w:ascii="Times Roman" w:hAnsi="Times Roman"/>
          <w:lang w:val="en-GB"/>
        </w:rPr>
        <w:t xml:space="preserve">, it is </w:t>
      </w:r>
      <w:r w:rsidR="002B1F06">
        <w:rPr>
          <w:rFonts w:ascii="Times Roman" w:hAnsi="Times Roman"/>
          <w:lang w:val="en-GB"/>
        </w:rPr>
        <w:t xml:space="preserve">understandable </w:t>
      </w:r>
      <w:r>
        <w:rPr>
          <w:rFonts w:ascii="Times Roman" w:hAnsi="Times Roman"/>
          <w:lang w:val="en-GB"/>
        </w:rPr>
        <w:t xml:space="preserve">that </w:t>
      </w:r>
      <w:r w:rsidR="002B1F06">
        <w:rPr>
          <w:rFonts w:ascii="Times Roman" w:hAnsi="Times Roman"/>
          <w:lang w:val="en-GB"/>
        </w:rPr>
        <w:t xml:space="preserve">Thompson </w:t>
      </w:r>
      <w:r>
        <w:rPr>
          <w:rFonts w:ascii="Times Roman" w:hAnsi="Times Roman"/>
          <w:lang w:val="en-GB"/>
        </w:rPr>
        <w:t xml:space="preserve">would </w:t>
      </w:r>
      <w:r w:rsidR="00064FD7">
        <w:rPr>
          <w:rFonts w:ascii="Times Roman" w:hAnsi="Times Roman"/>
          <w:lang w:val="en-GB"/>
        </w:rPr>
        <w:t xml:space="preserve">have </w:t>
      </w:r>
      <w:r w:rsidR="002B1F06">
        <w:rPr>
          <w:rFonts w:ascii="Times Roman" w:hAnsi="Times Roman"/>
          <w:lang w:val="en-GB"/>
        </w:rPr>
        <w:t>a poor</w:t>
      </w:r>
      <w:r w:rsidR="00064FD7">
        <w:rPr>
          <w:rFonts w:ascii="Times Roman" w:hAnsi="Times Roman"/>
          <w:lang w:val="en-GB"/>
        </w:rPr>
        <w:t xml:space="preserve"> recollection</w:t>
      </w:r>
      <w:r w:rsidR="002B1F06">
        <w:rPr>
          <w:rFonts w:ascii="Times Roman" w:hAnsi="Times Roman"/>
          <w:lang w:val="en-GB"/>
        </w:rPr>
        <w:t xml:space="preserve"> of events. UM’s receivership was just one of many Thompson would have worked on for GTL. Thompson was not even the partner in charge of the file but rather a mid-level employee. </w:t>
      </w:r>
      <w:r w:rsidR="00B26AE0">
        <w:rPr>
          <w:rFonts w:ascii="Times Roman" w:hAnsi="Times Roman"/>
          <w:lang w:val="en-GB"/>
        </w:rPr>
        <w:t xml:space="preserve">His recollection is reliant on documents that </w:t>
      </w:r>
      <w:r w:rsidR="002B1F06">
        <w:rPr>
          <w:rFonts w:ascii="Times Roman" w:hAnsi="Times Roman"/>
          <w:lang w:val="en-GB"/>
        </w:rPr>
        <w:t>were,</w:t>
      </w:r>
      <w:r w:rsidR="00B26AE0">
        <w:rPr>
          <w:rFonts w:ascii="Times Roman" w:hAnsi="Times Roman"/>
          <w:lang w:val="en-GB"/>
        </w:rPr>
        <w:t xml:space="preserve"> for the most part, written </w:t>
      </w:r>
      <w:r w:rsidR="002B1F06">
        <w:rPr>
          <w:rFonts w:ascii="Times Roman" w:hAnsi="Times Roman"/>
          <w:lang w:val="en-GB"/>
        </w:rPr>
        <w:t xml:space="preserve">cooperatively </w:t>
      </w:r>
      <w:r w:rsidR="00B26AE0">
        <w:rPr>
          <w:rFonts w:ascii="Times Roman" w:hAnsi="Times Roman"/>
          <w:lang w:val="en-GB"/>
        </w:rPr>
        <w:t>by other G</w:t>
      </w:r>
      <w:r w:rsidR="00064FD7">
        <w:rPr>
          <w:rFonts w:ascii="Times Roman" w:hAnsi="Times Roman"/>
          <w:lang w:val="en-GB"/>
        </w:rPr>
        <w:t>T</w:t>
      </w:r>
      <w:r w:rsidR="002B1F06">
        <w:rPr>
          <w:rFonts w:ascii="Times Roman" w:hAnsi="Times Roman"/>
          <w:lang w:val="en-GB"/>
        </w:rPr>
        <w:t>L</w:t>
      </w:r>
      <w:r w:rsidR="00064FD7">
        <w:rPr>
          <w:rFonts w:ascii="Times Roman" w:hAnsi="Times Roman"/>
          <w:lang w:val="en-GB"/>
        </w:rPr>
        <w:t xml:space="preserve"> employees all of whom</w:t>
      </w:r>
      <w:r w:rsidR="00B26AE0">
        <w:rPr>
          <w:rFonts w:ascii="Times Roman" w:hAnsi="Times Roman"/>
          <w:lang w:val="en-GB"/>
        </w:rPr>
        <w:t>, Thompson included, ha</w:t>
      </w:r>
      <w:r w:rsidR="002B1F06">
        <w:rPr>
          <w:rFonts w:ascii="Times Roman" w:hAnsi="Times Roman"/>
          <w:lang w:val="en-GB"/>
        </w:rPr>
        <w:t>d</w:t>
      </w:r>
      <w:r w:rsidR="00B26AE0">
        <w:rPr>
          <w:rFonts w:ascii="Times Roman" w:hAnsi="Times Roman"/>
          <w:lang w:val="en-GB"/>
        </w:rPr>
        <w:t xml:space="preserve"> no knowledge of </w:t>
      </w:r>
      <w:r w:rsidR="002B1F06">
        <w:rPr>
          <w:rFonts w:ascii="Times Roman" w:hAnsi="Times Roman"/>
          <w:lang w:val="en-GB"/>
        </w:rPr>
        <w:t>s</w:t>
      </w:r>
      <w:r w:rsidR="00B26AE0">
        <w:rPr>
          <w:rFonts w:ascii="Times Roman" w:hAnsi="Times Roman"/>
          <w:lang w:val="en-GB"/>
        </w:rPr>
        <w:t xml:space="preserve">haria law and </w:t>
      </w:r>
      <w:r w:rsidR="00064FD7">
        <w:rPr>
          <w:rFonts w:ascii="Times Roman" w:hAnsi="Times Roman"/>
          <w:lang w:val="en-GB"/>
        </w:rPr>
        <w:t xml:space="preserve">Islamic Finance concepts. </w:t>
      </w:r>
      <w:r w:rsidR="00B26AE0">
        <w:rPr>
          <w:rFonts w:ascii="Times Roman" w:hAnsi="Times Roman"/>
          <w:lang w:val="en-GB"/>
        </w:rPr>
        <w:t xml:space="preserve"> </w:t>
      </w:r>
    </w:p>
    <w:p w14:paraId="26742DBC" w14:textId="0CEE0209" w:rsidR="00C06BCC" w:rsidRDefault="002B1F0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Thompson’s recollection</w:t>
      </w:r>
      <w:r w:rsidR="009C07B0">
        <w:rPr>
          <w:rFonts w:ascii="Times Roman" w:hAnsi="Times Roman"/>
          <w:lang w:val="en-GB"/>
        </w:rPr>
        <w:t xml:space="preserve"> </w:t>
      </w:r>
      <w:r w:rsidR="009D3109">
        <w:rPr>
          <w:rFonts w:ascii="Times Roman" w:hAnsi="Times Roman"/>
          <w:lang w:val="en-GB"/>
        </w:rPr>
        <w:t xml:space="preserve">must </w:t>
      </w:r>
      <w:r>
        <w:rPr>
          <w:rFonts w:ascii="Times Roman" w:hAnsi="Times Roman"/>
          <w:lang w:val="en-GB"/>
        </w:rPr>
        <w:t xml:space="preserve">be </w:t>
      </w:r>
      <w:r w:rsidR="009D3109">
        <w:rPr>
          <w:rFonts w:ascii="Times Roman" w:hAnsi="Times Roman"/>
          <w:lang w:val="en-GB"/>
        </w:rPr>
        <w:t>contrast</w:t>
      </w:r>
      <w:r>
        <w:rPr>
          <w:rFonts w:ascii="Times Roman" w:hAnsi="Times Roman"/>
          <w:lang w:val="en-GB"/>
        </w:rPr>
        <w:t>ed</w:t>
      </w:r>
      <w:r w:rsidR="009D3109">
        <w:rPr>
          <w:rFonts w:ascii="Times Roman" w:hAnsi="Times Roman"/>
          <w:lang w:val="en-GB"/>
        </w:rPr>
        <w:t xml:space="preserve"> with Mr. Kalair</w:t>
      </w:r>
      <w:r>
        <w:rPr>
          <w:rFonts w:ascii="Times Roman" w:hAnsi="Times Roman"/>
          <w:lang w:val="en-GB"/>
        </w:rPr>
        <w:t>’s</w:t>
      </w:r>
      <w:r w:rsidR="009D3109">
        <w:rPr>
          <w:rFonts w:ascii="Times Roman" w:hAnsi="Times Roman"/>
          <w:lang w:val="en-GB"/>
        </w:rPr>
        <w:t>. The receivership was a seminal moment in Mr. Kalair’s life and certainly the most shocking m</w:t>
      </w:r>
      <w:r w:rsidR="009770A1">
        <w:rPr>
          <w:rFonts w:ascii="Times Roman" w:hAnsi="Times Roman"/>
          <w:lang w:val="en-GB"/>
        </w:rPr>
        <w:t>oment of his business career.  The details would stand out to him</w:t>
      </w:r>
      <w:r>
        <w:rPr>
          <w:rFonts w:ascii="Times Roman" w:hAnsi="Times Roman"/>
          <w:lang w:val="en-GB"/>
        </w:rPr>
        <w:t xml:space="preserve"> and he is not dependent on reference to documents prepared by committee</w:t>
      </w:r>
      <w:r w:rsidR="009770A1">
        <w:rPr>
          <w:rFonts w:ascii="Times Roman" w:hAnsi="Times Roman"/>
          <w:lang w:val="en-GB"/>
        </w:rPr>
        <w:t xml:space="preserve">. </w:t>
      </w:r>
      <w:r>
        <w:rPr>
          <w:rFonts w:ascii="Times Roman" w:hAnsi="Times Roman"/>
          <w:lang w:val="en-GB"/>
        </w:rPr>
        <w:t xml:space="preserve">Where </w:t>
      </w:r>
      <w:r w:rsidR="00B26AE0">
        <w:rPr>
          <w:rFonts w:ascii="Times Roman" w:hAnsi="Times Roman"/>
          <w:lang w:val="en-GB"/>
        </w:rPr>
        <w:t xml:space="preserve">Mr. Kalair’s evidence </w:t>
      </w:r>
      <w:r>
        <w:rPr>
          <w:rFonts w:ascii="Times Roman" w:hAnsi="Times Roman"/>
          <w:lang w:val="en-GB"/>
        </w:rPr>
        <w:t xml:space="preserve">differes from that of Mr. Thompson’s, Kalair’s </w:t>
      </w:r>
      <w:r w:rsidR="00B26AE0">
        <w:rPr>
          <w:rFonts w:ascii="Times Roman" w:hAnsi="Times Roman"/>
          <w:lang w:val="en-GB"/>
        </w:rPr>
        <w:t xml:space="preserve">should be preferred </w:t>
      </w:r>
      <w:r w:rsidR="00AB30CB">
        <w:rPr>
          <w:rFonts w:ascii="Times Roman" w:hAnsi="Times Roman"/>
          <w:lang w:val="en-GB"/>
        </w:rPr>
        <w:t xml:space="preserve">when considering the </w:t>
      </w:r>
      <w:r w:rsidR="005534E3">
        <w:rPr>
          <w:rFonts w:ascii="Times Roman" w:hAnsi="Times Roman"/>
          <w:lang w:val="en-GB"/>
        </w:rPr>
        <w:t>details of events</w:t>
      </w:r>
      <w:r w:rsidR="00AB30CB">
        <w:rPr>
          <w:rFonts w:ascii="Times Roman" w:hAnsi="Times Roman"/>
          <w:lang w:val="en-GB"/>
        </w:rPr>
        <w:t xml:space="preserve"> surrounding the receivership. </w:t>
      </w:r>
    </w:p>
    <w:p w14:paraId="6B0A0833" w14:textId="5B0D06B5" w:rsidR="009C07B0" w:rsidRDefault="005D78ED"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This sets the stage for a critical analysis of the events of </w:t>
      </w:r>
      <w:r w:rsidR="004E5105">
        <w:rPr>
          <w:rFonts w:ascii="Times Roman" w:hAnsi="Times Roman"/>
          <w:lang w:val="en-GB"/>
        </w:rPr>
        <w:t>October 7, 2011</w:t>
      </w:r>
      <w:r>
        <w:rPr>
          <w:rFonts w:ascii="Times Roman" w:hAnsi="Times Roman"/>
          <w:lang w:val="en-GB"/>
        </w:rPr>
        <w:t xml:space="preserve"> when the GTL team, including Thompson, first attended at UM’s offices.</w:t>
      </w:r>
      <w:r w:rsidR="004E5105">
        <w:rPr>
          <w:rFonts w:ascii="Times Roman" w:hAnsi="Times Roman"/>
          <w:lang w:val="en-GB"/>
        </w:rPr>
        <w:t xml:space="preserve"> Thompson’s recollection is reliant upon the memorandum prepared collectively by the team who attended.</w:t>
      </w:r>
      <w:r w:rsidR="004E5105">
        <w:rPr>
          <w:rStyle w:val="FootnoteReference"/>
          <w:rFonts w:ascii="Times Roman" w:hAnsi="Times Roman"/>
          <w:lang w:val="en-GB"/>
        </w:rPr>
        <w:footnoteReference w:id="77"/>
      </w:r>
      <w:r w:rsidR="004E5105">
        <w:rPr>
          <w:rFonts w:ascii="Times Roman" w:hAnsi="Times Roman"/>
          <w:lang w:val="en-GB"/>
        </w:rPr>
        <w:t xml:space="preserve"> </w:t>
      </w:r>
      <w:r w:rsidR="00087B20">
        <w:rPr>
          <w:rFonts w:ascii="Times Roman" w:hAnsi="Times Roman"/>
          <w:lang w:val="en-GB"/>
        </w:rPr>
        <w:t>G</w:t>
      </w:r>
      <w:r>
        <w:rPr>
          <w:rFonts w:ascii="Times Roman" w:hAnsi="Times Roman"/>
          <w:lang w:val="en-GB"/>
        </w:rPr>
        <w:t>TL</w:t>
      </w:r>
      <w:r w:rsidR="00087B20">
        <w:rPr>
          <w:rFonts w:ascii="Times Roman" w:hAnsi="Times Roman"/>
          <w:lang w:val="en-GB"/>
        </w:rPr>
        <w:t xml:space="preserve"> spen</w:t>
      </w:r>
      <w:r>
        <w:rPr>
          <w:rFonts w:ascii="Times Roman" w:hAnsi="Times Roman"/>
          <w:lang w:val="en-GB"/>
        </w:rPr>
        <w:t>t</w:t>
      </w:r>
      <w:r w:rsidR="00087B20">
        <w:rPr>
          <w:rFonts w:ascii="Times Roman" w:hAnsi="Times Roman"/>
          <w:lang w:val="en-GB"/>
        </w:rPr>
        <w:t xml:space="preserve"> </w:t>
      </w:r>
      <w:r>
        <w:rPr>
          <w:rFonts w:ascii="Times Roman" w:hAnsi="Times Roman"/>
          <w:lang w:val="en-GB"/>
        </w:rPr>
        <w:t xml:space="preserve">the </w:t>
      </w:r>
      <w:r w:rsidR="00087B20">
        <w:rPr>
          <w:rFonts w:ascii="Times Roman" w:hAnsi="Times Roman"/>
          <w:lang w:val="en-GB"/>
        </w:rPr>
        <w:t>full day at UM</w:t>
      </w:r>
      <w:r>
        <w:rPr>
          <w:rFonts w:ascii="Times Roman" w:hAnsi="Times Roman"/>
          <w:lang w:val="en-GB"/>
        </w:rPr>
        <w:t xml:space="preserve"> </w:t>
      </w:r>
      <w:r w:rsidR="00087B20">
        <w:rPr>
          <w:rFonts w:ascii="Times Roman" w:hAnsi="Times Roman"/>
          <w:lang w:val="en-GB"/>
        </w:rPr>
        <w:t>stay</w:t>
      </w:r>
      <w:r>
        <w:rPr>
          <w:rFonts w:ascii="Times Roman" w:hAnsi="Times Roman"/>
          <w:lang w:val="en-GB"/>
        </w:rPr>
        <w:t>ing on site for approximately</w:t>
      </w:r>
      <w:r w:rsidR="00087B20">
        <w:rPr>
          <w:rFonts w:ascii="Times Roman" w:hAnsi="Times Roman"/>
          <w:lang w:val="en-GB"/>
        </w:rPr>
        <w:t xml:space="preserve"> seven hours</w:t>
      </w:r>
      <w:r>
        <w:rPr>
          <w:rFonts w:ascii="Times Roman" w:hAnsi="Times Roman"/>
          <w:lang w:val="en-GB"/>
        </w:rPr>
        <w:t xml:space="preserve"> and seizing thousands of documents and gigabytes of digital data.</w:t>
      </w:r>
    </w:p>
    <w:p w14:paraId="7AF33584" w14:textId="434492FD" w:rsidR="009D3109" w:rsidRPr="00F12B82" w:rsidRDefault="00C94D66"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Mr. Thompson’s evidence was t</w:t>
      </w:r>
      <w:r w:rsidR="00963B31">
        <w:rPr>
          <w:rFonts w:ascii="Times Roman" w:hAnsi="Times Roman"/>
          <w:lang w:val="en-GB"/>
        </w:rPr>
        <w:t>hat</w:t>
      </w:r>
      <w:r>
        <w:rPr>
          <w:rFonts w:ascii="Times Roman" w:hAnsi="Times Roman"/>
          <w:lang w:val="en-GB"/>
        </w:rPr>
        <w:t xml:space="preserve"> Mr. Kalair </w:t>
      </w:r>
      <w:r w:rsidR="005D78ED">
        <w:rPr>
          <w:rFonts w:ascii="Times Roman" w:hAnsi="Times Roman"/>
          <w:lang w:val="en-GB"/>
        </w:rPr>
        <w:t>advised</w:t>
      </w:r>
      <w:r>
        <w:rPr>
          <w:rFonts w:ascii="Times Roman" w:hAnsi="Times Roman"/>
          <w:lang w:val="en-GB"/>
        </w:rPr>
        <w:t xml:space="preserve"> him </w:t>
      </w:r>
      <w:r w:rsidR="005D78ED">
        <w:rPr>
          <w:rFonts w:ascii="Times Roman" w:hAnsi="Times Roman"/>
          <w:lang w:val="en-GB"/>
        </w:rPr>
        <w:t>of</w:t>
      </w:r>
      <w:r>
        <w:rPr>
          <w:rFonts w:ascii="Times Roman" w:hAnsi="Times Roman"/>
          <w:lang w:val="en-GB"/>
        </w:rPr>
        <w:t xml:space="preserve"> </w:t>
      </w:r>
      <w:r w:rsidR="005D78ED">
        <w:rPr>
          <w:rFonts w:ascii="Times Roman" w:hAnsi="Times Roman"/>
          <w:lang w:val="en-GB"/>
        </w:rPr>
        <w:t>$</w:t>
      </w:r>
      <w:r>
        <w:rPr>
          <w:rFonts w:ascii="Times Roman" w:hAnsi="Times Roman"/>
          <w:lang w:val="en-GB"/>
        </w:rPr>
        <w:t>2.1 million dollars</w:t>
      </w:r>
      <w:r w:rsidR="00963B31">
        <w:rPr>
          <w:rFonts w:ascii="Times Roman" w:hAnsi="Times Roman"/>
          <w:lang w:val="en-GB"/>
        </w:rPr>
        <w:t xml:space="preserve"> </w:t>
      </w:r>
      <w:r>
        <w:rPr>
          <w:rFonts w:ascii="Times Roman" w:hAnsi="Times Roman"/>
          <w:lang w:val="en-GB"/>
        </w:rPr>
        <w:t>that was set aside for the SEB to establish a fund held by the board to cover future fines.</w:t>
      </w:r>
      <w:r w:rsidR="004D5110">
        <w:rPr>
          <w:rStyle w:val="FootnoteReference"/>
          <w:rFonts w:ascii="Times Roman" w:hAnsi="Times Roman"/>
          <w:lang w:val="en-GB"/>
        </w:rPr>
        <w:footnoteReference w:id="78"/>
      </w:r>
      <w:r>
        <w:rPr>
          <w:rFonts w:ascii="Times Roman" w:hAnsi="Times Roman"/>
          <w:lang w:val="en-GB"/>
        </w:rPr>
        <w:t xml:space="preserve"> Mr. Kalair’s evidence </w:t>
      </w:r>
      <w:r w:rsidR="009C07B0">
        <w:rPr>
          <w:rFonts w:ascii="Times Roman" w:hAnsi="Times Roman"/>
          <w:lang w:val="en-GB"/>
        </w:rPr>
        <w:t xml:space="preserve">on this issue </w:t>
      </w:r>
      <w:r>
        <w:rPr>
          <w:rFonts w:ascii="Times Roman" w:hAnsi="Times Roman"/>
          <w:lang w:val="en-GB"/>
        </w:rPr>
        <w:t>was that</w:t>
      </w:r>
      <w:r w:rsidR="005D78ED">
        <w:rPr>
          <w:rFonts w:ascii="Times Roman" w:hAnsi="Times Roman"/>
          <w:lang w:val="en-GB"/>
        </w:rPr>
        <w:t>,</w:t>
      </w:r>
      <w:r>
        <w:rPr>
          <w:rFonts w:ascii="Times Roman" w:hAnsi="Times Roman"/>
          <w:lang w:val="en-GB"/>
        </w:rPr>
        <w:t xml:space="preserve"> although he mentioned the SEB and thei</w:t>
      </w:r>
      <w:r w:rsidR="009C07B0">
        <w:rPr>
          <w:rFonts w:ascii="Times Roman" w:hAnsi="Times Roman"/>
          <w:lang w:val="en-GB"/>
        </w:rPr>
        <w:t xml:space="preserve">r ability to impose fines, </w:t>
      </w:r>
      <w:r>
        <w:rPr>
          <w:rFonts w:ascii="Times Roman" w:hAnsi="Times Roman"/>
          <w:lang w:val="en-GB"/>
        </w:rPr>
        <w:t xml:space="preserve">he </w:t>
      </w:r>
      <w:r w:rsidR="009C07B0">
        <w:rPr>
          <w:rFonts w:ascii="Times Roman" w:hAnsi="Times Roman"/>
          <w:lang w:val="en-GB"/>
        </w:rPr>
        <w:t>explained</w:t>
      </w:r>
      <w:r>
        <w:rPr>
          <w:rFonts w:ascii="Times Roman" w:hAnsi="Times Roman"/>
          <w:lang w:val="en-GB"/>
        </w:rPr>
        <w:t xml:space="preserve"> that the </w:t>
      </w:r>
      <w:r w:rsidR="005D78ED">
        <w:rPr>
          <w:rFonts w:ascii="Times Roman" w:hAnsi="Times Roman"/>
          <w:lang w:val="en-GB"/>
        </w:rPr>
        <w:t>$</w:t>
      </w:r>
      <w:r>
        <w:rPr>
          <w:rFonts w:ascii="Times Roman" w:hAnsi="Times Roman"/>
          <w:lang w:val="en-GB"/>
        </w:rPr>
        <w:t xml:space="preserve">2.1 million dollars was for outstanding payment </w:t>
      </w:r>
      <w:r w:rsidR="005D78ED">
        <w:rPr>
          <w:rFonts w:ascii="Times Roman" w:hAnsi="Times Roman"/>
          <w:lang w:val="en-GB"/>
        </w:rPr>
        <w:t xml:space="preserve">to cover </w:t>
      </w:r>
      <w:r w:rsidR="004C10BF">
        <w:rPr>
          <w:rFonts w:ascii="Times Roman" w:hAnsi="Times Roman"/>
          <w:lang w:val="en-GB"/>
        </w:rPr>
        <w:t>years</w:t>
      </w:r>
      <w:r>
        <w:rPr>
          <w:rFonts w:ascii="Times Roman" w:hAnsi="Times Roman"/>
          <w:lang w:val="en-GB"/>
        </w:rPr>
        <w:t xml:space="preserve"> </w:t>
      </w:r>
      <w:r w:rsidR="005D78ED">
        <w:rPr>
          <w:rFonts w:ascii="Times Roman" w:hAnsi="Times Roman"/>
          <w:lang w:val="en-GB"/>
        </w:rPr>
        <w:t>of sharia consulting by the SEB for UM.</w:t>
      </w:r>
      <w:r w:rsidR="00D62FC4">
        <w:rPr>
          <w:rStyle w:val="FootnoteReference"/>
          <w:rFonts w:ascii="Times Roman" w:hAnsi="Times Roman"/>
          <w:lang w:val="en-GB"/>
        </w:rPr>
        <w:footnoteReference w:id="79"/>
      </w:r>
      <w:r w:rsidR="005D78ED">
        <w:rPr>
          <w:rFonts w:ascii="Times Roman" w:hAnsi="Times Roman"/>
          <w:lang w:val="en-GB"/>
        </w:rPr>
        <w:t xml:space="preserve"> </w:t>
      </w:r>
      <w:r w:rsidR="00E015D6">
        <w:rPr>
          <w:rFonts w:ascii="Times Roman" w:hAnsi="Times Roman"/>
          <w:lang w:val="en-GB"/>
        </w:rPr>
        <w:t xml:space="preserve">Mr. Thomas’s expert evidence (discussed below) </w:t>
      </w:r>
      <w:r w:rsidR="005D78ED">
        <w:rPr>
          <w:rFonts w:ascii="Times Roman" w:hAnsi="Times Roman"/>
          <w:lang w:val="en-GB"/>
        </w:rPr>
        <w:t xml:space="preserve">explains the authority of the SEB to impose fines. One </w:t>
      </w:r>
      <w:r w:rsidR="005D78ED">
        <w:rPr>
          <w:rFonts w:ascii="Times Roman" w:hAnsi="Times Roman"/>
          <w:lang w:val="en-GB"/>
        </w:rPr>
        <w:lastRenderedPageBreak/>
        <w:t>plausible explanation for the discrepancy between the evidence of Thompson and Kalair is that Thompson was relying on a team memorandum</w:t>
      </w:r>
      <w:r w:rsidR="00F12B82">
        <w:rPr>
          <w:rFonts w:ascii="Times Roman" w:hAnsi="Times Roman"/>
          <w:lang w:val="en-GB"/>
        </w:rPr>
        <w:t xml:space="preserve"> and had no independent recollection of the discussions with Kalair, or indeed whether he himself (rather than another member of the team) even spoke with Kalair on this subject. It is possible that Thompson has conflated two disparate issues. Having observed Thompson’s animus towards the defence throughout his cross-examination, this Court should tread with caution and remain cognizant of Thompson’s penchant for gravitating towards whatever explanation would paint Mr. Kalair in the worst possible light.</w:t>
      </w:r>
    </w:p>
    <w:p w14:paraId="4A538F6B" w14:textId="77777777" w:rsidR="00E015D6" w:rsidRDefault="00E015D6" w:rsidP="00E015D6">
      <w:pPr>
        <w:pStyle w:val="ListParagraph"/>
        <w:shd w:val="clear" w:color="auto" w:fill="FFFFFF"/>
        <w:spacing w:after="120" w:line="360" w:lineRule="auto"/>
        <w:ind w:left="0"/>
        <w:contextualSpacing w:val="0"/>
        <w:jc w:val="both"/>
        <w:rPr>
          <w:rFonts w:ascii="Times Roman" w:hAnsi="Times Roman"/>
          <w:lang w:val="en-GB"/>
        </w:rPr>
      </w:pPr>
    </w:p>
    <w:p w14:paraId="2398C6A6" w14:textId="02B1E30D" w:rsidR="00E015D6" w:rsidRPr="00E015D6" w:rsidRDefault="00E015D6" w:rsidP="00E015D6">
      <w:pPr>
        <w:pStyle w:val="Heading3"/>
        <w:ind w:firstLine="720"/>
        <w:rPr>
          <w:color w:val="auto"/>
          <w:lang w:val="en-GB"/>
        </w:rPr>
      </w:pPr>
      <w:bookmarkStart w:id="24" w:name="_Toc411860401"/>
      <w:r w:rsidRPr="00E015D6">
        <w:rPr>
          <w:color w:val="auto"/>
          <w:lang w:val="en-GB"/>
        </w:rPr>
        <w:t>iv. Evidence of Michael Durst</w:t>
      </w:r>
      <w:bookmarkEnd w:id="24"/>
    </w:p>
    <w:p w14:paraId="638B349E" w14:textId="598431FF" w:rsidR="00E015D6" w:rsidRDefault="00DB7BE9"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evidence of Mr. Durst relates primarily to </w:t>
      </w:r>
      <w:r w:rsidR="00231E58">
        <w:rPr>
          <w:rFonts w:ascii="Times Roman" w:hAnsi="Times Roman"/>
          <w:lang w:val="en-GB"/>
        </w:rPr>
        <w:t xml:space="preserve">Mr. Kalair’s </w:t>
      </w:r>
      <w:r>
        <w:rPr>
          <w:rFonts w:ascii="Times Roman" w:hAnsi="Times Roman"/>
          <w:lang w:val="en-GB"/>
        </w:rPr>
        <w:t>purchase of gold and silver on August 30, 2011. Mr</w:t>
      </w:r>
      <w:r w:rsidR="00231E58">
        <w:rPr>
          <w:rFonts w:ascii="Times Roman" w:hAnsi="Times Roman"/>
          <w:lang w:val="en-GB"/>
        </w:rPr>
        <w:t>. Durst was</w:t>
      </w:r>
      <w:r>
        <w:rPr>
          <w:rFonts w:ascii="Times Roman" w:hAnsi="Times Roman"/>
          <w:lang w:val="en-GB"/>
        </w:rPr>
        <w:t xml:space="preserve"> a </w:t>
      </w:r>
      <w:r w:rsidR="00231E58">
        <w:rPr>
          <w:rFonts w:ascii="Times Roman" w:hAnsi="Times Roman"/>
          <w:lang w:val="en-GB"/>
        </w:rPr>
        <w:t xml:space="preserve">Scotiabank </w:t>
      </w:r>
      <w:r>
        <w:rPr>
          <w:rFonts w:ascii="Times Roman" w:hAnsi="Times Roman"/>
          <w:lang w:val="en-GB"/>
        </w:rPr>
        <w:t xml:space="preserve">Branch Manager </w:t>
      </w:r>
      <w:r w:rsidR="00231E58">
        <w:rPr>
          <w:rFonts w:ascii="Times Roman" w:hAnsi="Times Roman"/>
          <w:lang w:val="en-GB"/>
        </w:rPr>
        <w:t xml:space="preserve">at the time. He was familiar </w:t>
      </w:r>
      <w:r>
        <w:rPr>
          <w:rFonts w:ascii="Times Roman" w:hAnsi="Times Roman"/>
          <w:lang w:val="en-GB"/>
        </w:rPr>
        <w:t>with UM’s business model and with Mr. Kalair personally</w:t>
      </w:r>
      <w:r w:rsidR="009C07B0">
        <w:rPr>
          <w:rFonts w:ascii="Times Roman" w:hAnsi="Times Roman"/>
          <w:lang w:val="en-GB"/>
        </w:rPr>
        <w:t xml:space="preserve"> as he had dealt with them for years</w:t>
      </w:r>
      <w:r>
        <w:rPr>
          <w:rFonts w:ascii="Times Roman" w:hAnsi="Times Roman"/>
          <w:lang w:val="en-GB"/>
        </w:rPr>
        <w:t xml:space="preserve">. </w:t>
      </w:r>
      <w:r w:rsidR="009C07B0">
        <w:rPr>
          <w:rFonts w:ascii="Times Roman" w:hAnsi="Times Roman"/>
          <w:lang w:val="en-GB"/>
        </w:rPr>
        <w:t>When Mr. Kalair attended at the</w:t>
      </w:r>
      <w:r w:rsidR="00231E58">
        <w:rPr>
          <w:rFonts w:ascii="Times Roman" w:hAnsi="Times Roman"/>
          <w:lang w:val="en-GB"/>
        </w:rPr>
        <w:t xml:space="preserve"> branch and requested to purchase 15 kilograms of gold, it was Mr. Durst who suggested that </w:t>
      </w:r>
      <w:r w:rsidR="007D2C78">
        <w:rPr>
          <w:rFonts w:ascii="Times Roman" w:hAnsi="Times Roman"/>
          <w:lang w:val="en-GB"/>
        </w:rPr>
        <w:t>Kalair</w:t>
      </w:r>
      <w:r w:rsidR="00231E58">
        <w:rPr>
          <w:rFonts w:ascii="Times Roman" w:hAnsi="Times Roman"/>
          <w:lang w:val="en-GB"/>
        </w:rPr>
        <w:t xml:space="preserve"> go downtown to the Scotiabank main branch. It was also Mr. Durst who authorized the debiting of UMs account in the purchase amount. </w:t>
      </w:r>
    </w:p>
    <w:p w14:paraId="18900473" w14:textId="4BACC7A6" w:rsidR="009C07B0" w:rsidRDefault="00231E58"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Mr. Kalair approached Durst again </w:t>
      </w:r>
      <w:r w:rsidR="009C07B0">
        <w:rPr>
          <w:rFonts w:ascii="Times Roman" w:hAnsi="Times Roman"/>
          <w:lang w:val="en-GB"/>
        </w:rPr>
        <w:t>the next day</w:t>
      </w:r>
      <w:r w:rsidR="004C7BA9">
        <w:rPr>
          <w:rFonts w:ascii="Times Roman" w:hAnsi="Times Roman"/>
          <w:lang w:val="en-GB"/>
        </w:rPr>
        <w:t>,</w:t>
      </w:r>
      <w:r>
        <w:rPr>
          <w:rFonts w:ascii="Times Roman" w:hAnsi="Times Roman"/>
          <w:lang w:val="en-GB"/>
        </w:rPr>
        <w:t xml:space="preserve"> requesting to purchase an additional 18 kilograms of gold. Durst inquire</w:t>
      </w:r>
      <w:r w:rsidR="007D2C78">
        <w:rPr>
          <w:rFonts w:ascii="Times Roman" w:hAnsi="Times Roman"/>
          <w:lang w:val="en-GB"/>
        </w:rPr>
        <w:t>d of Kalair</w:t>
      </w:r>
      <w:r>
        <w:rPr>
          <w:rFonts w:ascii="Times Roman" w:hAnsi="Times Roman"/>
          <w:lang w:val="en-GB"/>
        </w:rPr>
        <w:t xml:space="preserve"> as to why he was interested in purchasing the gold. It was Durst’s evidence that the reason </w:t>
      </w:r>
      <w:r w:rsidR="009C07B0">
        <w:rPr>
          <w:rFonts w:ascii="Times Roman" w:hAnsi="Times Roman"/>
          <w:lang w:val="en-GB"/>
        </w:rPr>
        <w:t>Mr. Kalair</w:t>
      </w:r>
      <w:r w:rsidR="00605CF1">
        <w:rPr>
          <w:rFonts w:ascii="Times Roman" w:hAnsi="Times Roman"/>
          <w:lang w:val="en-GB"/>
        </w:rPr>
        <w:t xml:space="preserve"> </w:t>
      </w:r>
      <w:r w:rsidR="00B839C0">
        <w:rPr>
          <w:rFonts w:ascii="Times Roman" w:hAnsi="Times Roman"/>
          <w:lang w:val="en-GB"/>
        </w:rPr>
        <w:t xml:space="preserve">provided </w:t>
      </w:r>
      <w:r w:rsidR="009C07B0">
        <w:rPr>
          <w:rFonts w:ascii="Times Roman" w:hAnsi="Times Roman"/>
          <w:lang w:val="en-GB"/>
        </w:rPr>
        <w:t xml:space="preserve">for the purchase </w:t>
      </w:r>
      <w:r w:rsidR="007D2C78">
        <w:rPr>
          <w:rFonts w:ascii="Times Roman" w:hAnsi="Times Roman"/>
          <w:lang w:val="en-GB"/>
        </w:rPr>
        <w:t>related to</w:t>
      </w:r>
      <w:r>
        <w:rPr>
          <w:rFonts w:ascii="Times Roman" w:hAnsi="Times Roman"/>
          <w:lang w:val="en-GB"/>
        </w:rPr>
        <w:t xml:space="preserve"> an investor </w:t>
      </w:r>
      <w:r w:rsidR="007D2C78">
        <w:rPr>
          <w:rFonts w:ascii="Times Roman" w:hAnsi="Times Roman"/>
          <w:lang w:val="en-GB"/>
        </w:rPr>
        <w:t xml:space="preserve">who </w:t>
      </w:r>
      <w:r>
        <w:rPr>
          <w:rFonts w:ascii="Times Roman" w:hAnsi="Times Roman"/>
          <w:lang w:val="en-GB"/>
        </w:rPr>
        <w:t>wanted to diversify</w:t>
      </w:r>
      <w:r w:rsidR="00B839C0">
        <w:rPr>
          <w:rFonts w:ascii="Times Roman" w:hAnsi="Times Roman"/>
          <w:lang w:val="en-GB"/>
        </w:rPr>
        <w:t xml:space="preserve"> </w:t>
      </w:r>
      <w:r w:rsidR="00605CF1">
        <w:rPr>
          <w:rFonts w:ascii="Times Roman" w:hAnsi="Times Roman"/>
          <w:lang w:val="en-GB"/>
        </w:rPr>
        <w:t xml:space="preserve">his five million dollar </w:t>
      </w:r>
      <w:r w:rsidR="007D2C78">
        <w:rPr>
          <w:rFonts w:ascii="Times Roman" w:hAnsi="Times Roman"/>
          <w:lang w:val="en-GB"/>
        </w:rPr>
        <w:t>portfolio</w:t>
      </w:r>
      <w:r w:rsidR="00605CF1">
        <w:rPr>
          <w:rFonts w:ascii="Times Roman" w:hAnsi="Times Roman"/>
          <w:lang w:val="en-GB"/>
        </w:rPr>
        <w:t xml:space="preserve"> because of the potential increase in the value of gold. Mr. Kalair clarified in his testimony that</w:t>
      </w:r>
      <w:r w:rsidR="007D2C78">
        <w:rPr>
          <w:rFonts w:ascii="Times Roman" w:hAnsi="Times Roman"/>
          <w:lang w:val="en-GB"/>
        </w:rPr>
        <w:t xml:space="preserve"> </w:t>
      </w:r>
      <w:r w:rsidR="00605CF1">
        <w:rPr>
          <w:rFonts w:ascii="Times Roman" w:hAnsi="Times Roman"/>
          <w:lang w:val="en-GB"/>
        </w:rPr>
        <w:t xml:space="preserve">Durst was correct about his recollection of a discussion of five million dollars, but </w:t>
      </w:r>
      <w:r w:rsidR="009C07B0">
        <w:rPr>
          <w:rFonts w:ascii="Times Roman" w:hAnsi="Times Roman"/>
          <w:lang w:val="en-GB"/>
        </w:rPr>
        <w:t xml:space="preserve">that he </w:t>
      </w:r>
      <w:r w:rsidR="00605CF1">
        <w:rPr>
          <w:rFonts w:ascii="Times Roman" w:hAnsi="Times Roman"/>
          <w:lang w:val="en-GB"/>
        </w:rPr>
        <w:t xml:space="preserve">was incorrect about the context. According to Kalair, the five million dollar figure </w:t>
      </w:r>
      <w:r w:rsidR="007D2C78">
        <w:rPr>
          <w:rFonts w:ascii="Times Roman" w:hAnsi="Times Roman"/>
          <w:lang w:val="en-GB"/>
        </w:rPr>
        <w:t xml:space="preserve">relates to a discussion of </w:t>
      </w:r>
      <w:r w:rsidR="00605CF1">
        <w:rPr>
          <w:rFonts w:ascii="Times Roman" w:hAnsi="Times Roman"/>
          <w:lang w:val="en-GB"/>
        </w:rPr>
        <w:t>UM Real Estate</w:t>
      </w:r>
      <w:r w:rsidR="007D2C78">
        <w:rPr>
          <w:rFonts w:ascii="Times Roman" w:hAnsi="Times Roman"/>
          <w:lang w:val="en-GB"/>
        </w:rPr>
        <w:t xml:space="preserve"> (UMRE)</w:t>
      </w:r>
      <w:r w:rsidR="00605CF1">
        <w:rPr>
          <w:rFonts w:ascii="Times Roman" w:hAnsi="Times Roman"/>
          <w:lang w:val="en-GB"/>
        </w:rPr>
        <w:t xml:space="preserve">, a </w:t>
      </w:r>
      <w:r w:rsidR="007D2C78">
        <w:rPr>
          <w:rFonts w:ascii="Times Roman" w:hAnsi="Times Roman"/>
          <w:lang w:val="en-GB"/>
        </w:rPr>
        <w:t>related company</w:t>
      </w:r>
      <w:r w:rsidR="00605CF1">
        <w:rPr>
          <w:rFonts w:ascii="Times Roman" w:hAnsi="Times Roman"/>
          <w:lang w:val="en-GB"/>
        </w:rPr>
        <w:t xml:space="preserve"> to UM</w:t>
      </w:r>
      <w:r w:rsidR="001A0079">
        <w:rPr>
          <w:rFonts w:ascii="Times Roman" w:hAnsi="Times Roman"/>
          <w:lang w:val="en-GB"/>
        </w:rPr>
        <w:t xml:space="preserve"> which also held an account at the same branch</w:t>
      </w:r>
      <w:r w:rsidR="00D62FC4">
        <w:rPr>
          <w:rFonts w:ascii="Times Roman" w:hAnsi="Times Roman"/>
          <w:lang w:val="en-GB"/>
        </w:rPr>
        <w:t>.</w:t>
      </w:r>
      <w:r w:rsidR="00D62FC4">
        <w:rPr>
          <w:rStyle w:val="FootnoteReference"/>
          <w:rFonts w:ascii="Times Roman" w:hAnsi="Times Roman"/>
          <w:lang w:val="en-GB"/>
        </w:rPr>
        <w:footnoteReference w:id="80"/>
      </w:r>
      <w:r w:rsidR="007D2C78">
        <w:rPr>
          <w:rFonts w:ascii="Times Roman" w:hAnsi="Times Roman"/>
          <w:lang w:val="en-GB"/>
        </w:rPr>
        <w:t xml:space="preserve"> </w:t>
      </w:r>
    </w:p>
    <w:p w14:paraId="7EA7FF9A" w14:textId="3AFFEB57" w:rsidR="00231E58" w:rsidRPr="00FD1DD3" w:rsidRDefault="007D2C78"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Kalair’s request to make a second large gold purchase is rebuffed by Durst, though he assists by providing Kalair with a referral to Bendix. It is at this time that Durst </w:t>
      </w:r>
      <w:r>
        <w:rPr>
          <w:rFonts w:ascii="Times Roman" w:hAnsi="Times Roman"/>
          <w:lang w:val="en-GB"/>
        </w:rPr>
        <w:lastRenderedPageBreak/>
        <w:t>prepares the “unusual transaction report</w:t>
      </w:r>
      <w:r w:rsidR="00D62FC4">
        <w:rPr>
          <w:rFonts w:ascii="Times Roman" w:hAnsi="Times Roman"/>
          <w:lang w:val="en-GB"/>
        </w:rPr>
        <w:t>”.</w:t>
      </w:r>
      <w:r w:rsidR="00D62FC4">
        <w:rPr>
          <w:rStyle w:val="FootnoteReference"/>
          <w:rFonts w:ascii="Times Roman" w:hAnsi="Times Roman"/>
          <w:lang w:val="en-GB"/>
        </w:rPr>
        <w:footnoteReference w:id="81"/>
      </w:r>
      <w:r w:rsidR="00D62FC4">
        <w:rPr>
          <w:rFonts w:ascii="Times Roman" w:hAnsi="Times Roman"/>
          <w:lang w:val="en-GB"/>
        </w:rPr>
        <w:t xml:space="preserve"> </w:t>
      </w:r>
      <w:r w:rsidR="00FD1DD3">
        <w:rPr>
          <w:rFonts w:ascii="Times Roman" w:hAnsi="Times Roman"/>
          <w:lang w:val="en-GB"/>
        </w:rPr>
        <w:t>Whatever Durst’s concerns, they were clearly not so urgent as to stop him from referr</w:t>
      </w:r>
      <w:r w:rsidR="004C10BF">
        <w:rPr>
          <w:rFonts w:ascii="Times Roman" w:hAnsi="Times Roman"/>
          <w:lang w:val="en-GB"/>
        </w:rPr>
        <w:t>ing</w:t>
      </w:r>
      <w:r w:rsidR="00FD1DD3">
        <w:rPr>
          <w:rFonts w:ascii="Times Roman" w:hAnsi="Times Roman"/>
          <w:lang w:val="en-GB"/>
        </w:rPr>
        <w:t xml:space="preserve"> Kalair elsewhere nor did Durst articulate any concerns to Kalair directly. </w:t>
      </w:r>
      <w:r w:rsidR="008177DC">
        <w:rPr>
          <w:rFonts w:ascii="Times Roman" w:hAnsi="Times Roman"/>
          <w:lang w:val="en-GB"/>
        </w:rPr>
        <w:t>Durst continued to work with UM and his bank made no change to its relationship with UM, maintaining all accounts and services, right through to the moment of receivership.</w:t>
      </w:r>
    </w:p>
    <w:p w14:paraId="5B917288" w14:textId="77777777" w:rsidR="00E23618" w:rsidRDefault="00E23618" w:rsidP="00E23618">
      <w:pPr>
        <w:pStyle w:val="ListParagraph"/>
        <w:shd w:val="clear" w:color="auto" w:fill="FFFFFF"/>
        <w:spacing w:after="120" w:line="360" w:lineRule="auto"/>
        <w:ind w:left="0"/>
        <w:contextualSpacing w:val="0"/>
        <w:jc w:val="both"/>
        <w:rPr>
          <w:rFonts w:ascii="Times Roman" w:hAnsi="Times Roman"/>
          <w:lang w:val="en-GB"/>
        </w:rPr>
      </w:pPr>
    </w:p>
    <w:p w14:paraId="28C77D58" w14:textId="0820560A" w:rsidR="00E23618" w:rsidRPr="00E23618" w:rsidRDefault="00E23618" w:rsidP="00E23618">
      <w:pPr>
        <w:pStyle w:val="Heading3"/>
        <w:ind w:firstLine="720"/>
        <w:rPr>
          <w:color w:val="auto"/>
          <w:lang w:val="en-GB"/>
        </w:rPr>
      </w:pPr>
      <w:bookmarkStart w:id="25" w:name="_Toc411860402"/>
      <w:r w:rsidRPr="00E23618">
        <w:rPr>
          <w:color w:val="auto"/>
          <w:lang w:val="en-GB"/>
        </w:rPr>
        <w:t>v. Evidence of Shazhad Siddiqui</w:t>
      </w:r>
      <w:bookmarkEnd w:id="25"/>
    </w:p>
    <w:p w14:paraId="3586FD62" w14:textId="309F2472" w:rsidR="00E23AA5" w:rsidRDefault="00E23AA5"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Once the receivership commenced, both UM and MCC retained counsel in </w:t>
      </w:r>
      <w:r w:rsidR="00573935">
        <w:rPr>
          <w:rFonts w:ascii="Times Roman" w:hAnsi="Times Roman"/>
          <w:lang w:val="en-GB"/>
        </w:rPr>
        <w:t xml:space="preserve">an </w:t>
      </w:r>
      <w:r>
        <w:rPr>
          <w:rFonts w:ascii="Times Roman" w:hAnsi="Times Roman"/>
          <w:lang w:val="en-GB"/>
        </w:rPr>
        <w:t>attempt to protect their interests and more importantly</w:t>
      </w:r>
      <w:r w:rsidR="00573935">
        <w:rPr>
          <w:rFonts w:ascii="Times Roman" w:hAnsi="Times Roman"/>
          <w:lang w:val="en-GB"/>
        </w:rPr>
        <w:t>,</w:t>
      </w:r>
      <w:r>
        <w:rPr>
          <w:rFonts w:ascii="Times Roman" w:hAnsi="Times Roman"/>
          <w:lang w:val="en-GB"/>
        </w:rPr>
        <w:t xml:space="preserve"> to protect their clients</w:t>
      </w:r>
      <w:r w:rsidR="004C10BF">
        <w:rPr>
          <w:rFonts w:ascii="Times Roman" w:hAnsi="Times Roman"/>
          <w:lang w:val="en-GB"/>
        </w:rPr>
        <w:t>’</w:t>
      </w:r>
      <w:r>
        <w:rPr>
          <w:rFonts w:ascii="Times Roman" w:hAnsi="Times Roman"/>
          <w:lang w:val="en-GB"/>
        </w:rPr>
        <w:t xml:space="preserve"> </w:t>
      </w:r>
      <w:r w:rsidR="00FD1DD3">
        <w:rPr>
          <w:rFonts w:ascii="Times Roman" w:hAnsi="Times Roman"/>
          <w:lang w:val="en-GB"/>
        </w:rPr>
        <w:t>s</w:t>
      </w:r>
      <w:r>
        <w:rPr>
          <w:rFonts w:ascii="Times Roman" w:hAnsi="Times Roman"/>
          <w:lang w:val="en-GB"/>
        </w:rPr>
        <w:t>haria compliant mortgage contracts.</w:t>
      </w:r>
    </w:p>
    <w:p w14:paraId="1B8EB223" w14:textId="293A5451" w:rsidR="00E015D6" w:rsidRDefault="00FD1DD3"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Siddiqui was clear that he was retained by, and took instructions from,</w:t>
      </w:r>
      <w:r w:rsidR="00E23AA5">
        <w:rPr>
          <w:rFonts w:ascii="Times Roman" w:hAnsi="Times Roman"/>
          <w:lang w:val="en-GB"/>
        </w:rPr>
        <w:t xml:space="preserve"> MCC and Mr. Panchb</w:t>
      </w:r>
      <w:r>
        <w:rPr>
          <w:rFonts w:ascii="Times Roman" w:hAnsi="Times Roman"/>
          <w:lang w:val="en-GB"/>
        </w:rPr>
        <w:t>h</w:t>
      </w:r>
      <w:r w:rsidR="00E23AA5">
        <w:rPr>
          <w:rFonts w:ascii="Times Roman" w:hAnsi="Times Roman"/>
          <w:lang w:val="en-GB"/>
        </w:rPr>
        <w:t>aya.</w:t>
      </w:r>
      <w:r w:rsidR="00A731E1" w:rsidRPr="00A731E1">
        <w:rPr>
          <w:rStyle w:val="FootnoteReference"/>
          <w:rFonts w:ascii="Times Roman" w:hAnsi="Times Roman"/>
          <w:lang w:val="en-GB"/>
        </w:rPr>
        <w:t xml:space="preserve"> </w:t>
      </w:r>
      <w:r w:rsidR="00A731E1">
        <w:rPr>
          <w:rStyle w:val="FootnoteReference"/>
          <w:rFonts w:ascii="Times Roman" w:hAnsi="Times Roman"/>
          <w:lang w:val="en-GB"/>
        </w:rPr>
        <w:footnoteReference w:id="82"/>
      </w:r>
      <w:r w:rsidR="00E23AA5">
        <w:rPr>
          <w:rFonts w:ascii="Times Roman" w:hAnsi="Times Roman"/>
          <w:lang w:val="en-GB"/>
        </w:rPr>
        <w:t xml:space="preserve"> Although Mr. Kalair </w:t>
      </w:r>
      <w:r>
        <w:rPr>
          <w:rFonts w:ascii="Times Roman" w:hAnsi="Times Roman"/>
          <w:lang w:val="en-GB"/>
        </w:rPr>
        <w:t>had an obvious vested interest in Siddiqui’s work on behalf of MCC,</w:t>
      </w:r>
      <w:r w:rsidR="00E23AA5">
        <w:rPr>
          <w:rFonts w:ascii="Times Roman" w:hAnsi="Times Roman"/>
          <w:lang w:val="en-GB"/>
        </w:rPr>
        <w:t xml:space="preserve"> </w:t>
      </w:r>
      <w:r>
        <w:rPr>
          <w:rFonts w:ascii="Times Roman" w:hAnsi="Times Roman"/>
          <w:lang w:val="en-GB"/>
        </w:rPr>
        <w:t xml:space="preserve">neither </w:t>
      </w:r>
      <w:r w:rsidR="00E23AA5">
        <w:rPr>
          <w:rFonts w:ascii="Times Roman" w:hAnsi="Times Roman"/>
          <w:lang w:val="en-GB"/>
        </w:rPr>
        <w:t>Kalair nor UM w</w:t>
      </w:r>
      <w:r>
        <w:rPr>
          <w:rFonts w:ascii="Times Roman" w:hAnsi="Times Roman"/>
          <w:lang w:val="en-GB"/>
        </w:rPr>
        <w:t>ere</w:t>
      </w:r>
      <w:r w:rsidR="00E23AA5">
        <w:rPr>
          <w:rFonts w:ascii="Times Roman" w:hAnsi="Times Roman"/>
          <w:lang w:val="en-GB"/>
        </w:rPr>
        <w:t xml:space="preserve"> ever the client. Mr. Kalair was CC’d or BCC’d on </w:t>
      </w:r>
      <w:r>
        <w:rPr>
          <w:rFonts w:ascii="Times Roman" w:hAnsi="Times Roman"/>
          <w:lang w:val="en-GB"/>
        </w:rPr>
        <w:t xml:space="preserve">many </w:t>
      </w:r>
      <w:r w:rsidR="00E23AA5">
        <w:rPr>
          <w:rFonts w:ascii="Times Roman" w:hAnsi="Times Roman"/>
          <w:lang w:val="en-GB"/>
        </w:rPr>
        <w:t>communications</w:t>
      </w:r>
      <w:r>
        <w:rPr>
          <w:rFonts w:ascii="Times Roman" w:hAnsi="Times Roman"/>
          <w:lang w:val="en-GB"/>
        </w:rPr>
        <w:t xml:space="preserve"> entered into evidence</w:t>
      </w:r>
      <w:r w:rsidR="00E23AA5">
        <w:rPr>
          <w:rFonts w:ascii="Times Roman" w:hAnsi="Times Roman"/>
          <w:lang w:val="en-GB"/>
        </w:rPr>
        <w:t xml:space="preserve">, but </w:t>
      </w:r>
      <w:r>
        <w:rPr>
          <w:rFonts w:ascii="Times Roman" w:hAnsi="Times Roman"/>
          <w:lang w:val="en-GB"/>
        </w:rPr>
        <w:t>was also excluded on many and not privy to numerous calls and in-person meetings between Siddiqui and Panchbhaya.</w:t>
      </w:r>
      <w:r w:rsidR="00E23AA5">
        <w:rPr>
          <w:rFonts w:ascii="Times Roman" w:hAnsi="Times Roman"/>
          <w:lang w:val="en-GB"/>
        </w:rPr>
        <w:t xml:space="preserve"> </w:t>
      </w:r>
    </w:p>
    <w:p w14:paraId="56D6EE6E" w14:textId="38C12FF3" w:rsidR="00E23AA5" w:rsidRDefault="00E23AA5"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At the time of his involvement </w:t>
      </w:r>
      <w:r w:rsidR="00A731E1">
        <w:rPr>
          <w:rFonts w:ascii="Times Roman" w:hAnsi="Times Roman"/>
          <w:lang w:val="en-GB"/>
        </w:rPr>
        <w:t xml:space="preserve">with MCC, Siddiqui was a junior lawyer fresh off recent studies </w:t>
      </w:r>
      <w:r>
        <w:rPr>
          <w:rFonts w:ascii="Times Roman" w:hAnsi="Times Roman"/>
          <w:lang w:val="en-GB"/>
        </w:rPr>
        <w:t xml:space="preserve">in the field of Islamic Finance. He had a bonafide desire to see Islamic Finance expand and succeed in Canada.  </w:t>
      </w:r>
    </w:p>
    <w:p w14:paraId="09D85468" w14:textId="47F7D2DA" w:rsidR="00E23AA5" w:rsidRPr="008F554E" w:rsidRDefault="00E23AA5"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When </w:t>
      </w:r>
      <w:r w:rsidR="00573935">
        <w:rPr>
          <w:rFonts w:ascii="Times Roman" w:hAnsi="Times Roman"/>
          <w:lang w:val="en-GB"/>
        </w:rPr>
        <w:t>Mr. Panchbhaya first retained him</w:t>
      </w:r>
      <w:r w:rsidR="006618B1">
        <w:rPr>
          <w:rFonts w:ascii="Times Roman" w:hAnsi="Times Roman"/>
          <w:lang w:val="en-GB"/>
        </w:rPr>
        <w:t xml:space="preserve"> </w:t>
      </w:r>
      <w:r w:rsidR="00942B5F">
        <w:rPr>
          <w:rFonts w:ascii="Times Roman" w:hAnsi="Times Roman"/>
          <w:lang w:val="en-GB"/>
        </w:rPr>
        <w:t>in July of 2011</w:t>
      </w:r>
      <w:r>
        <w:rPr>
          <w:rFonts w:ascii="Times Roman" w:hAnsi="Times Roman"/>
          <w:lang w:val="en-GB"/>
        </w:rPr>
        <w:t xml:space="preserve">, </w:t>
      </w:r>
      <w:r w:rsidR="00A731E1">
        <w:rPr>
          <w:rFonts w:ascii="Times Roman" w:hAnsi="Times Roman"/>
          <w:lang w:val="en-GB"/>
        </w:rPr>
        <w:t xml:space="preserve">Siddiqui’s instructions were to get the SEB a seat at the insolvency table. The transformation into the incorporated entity of MCC was designed, in part, to enhance legitimacy and improve the SEB’s chances of intervening in court. MCC sought to harmonize </w:t>
      </w:r>
      <w:r w:rsidR="006618B1">
        <w:rPr>
          <w:rFonts w:ascii="Times Roman" w:hAnsi="Times Roman"/>
          <w:lang w:val="en-GB"/>
        </w:rPr>
        <w:t xml:space="preserve">Canadian and Sharia law and to maintain </w:t>
      </w:r>
      <w:r w:rsidR="00A731E1">
        <w:rPr>
          <w:rFonts w:ascii="Times Roman" w:hAnsi="Times Roman"/>
          <w:lang w:val="en-GB"/>
        </w:rPr>
        <w:t>s</w:t>
      </w:r>
      <w:r w:rsidR="006618B1">
        <w:rPr>
          <w:rFonts w:ascii="Times Roman" w:hAnsi="Times Roman"/>
          <w:lang w:val="en-GB"/>
        </w:rPr>
        <w:t xml:space="preserve">haria compliance of the </w:t>
      </w:r>
      <w:r w:rsidR="00A731E1">
        <w:rPr>
          <w:rFonts w:ascii="Times Roman" w:hAnsi="Times Roman"/>
          <w:lang w:val="en-GB"/>
        </w:rPr>
        <w:t xml:space="preserve">mortgage </w:t>
      </w:r>
      <w:r w:rsidR="006618B1">
        <w:rPr>
          <w:rFonts w:ascii="Times Roman" w:hAnsi="Times Roman"/>
          <w:lang w:val="en-GB"/>
        </w:rPr>
        <w:t>product in the face of pending receivership</w:t>
      </w:r>
      <w:r w:rsidR="00A55509">
        <w:rPr>
          <w:rFonts w:ascii="Times Roman" w:hAnsi="Times Roman"/>
          <w:lang w:val="en-GB"/>
        </w:rPr>
        <w:t>.</w:t>
      </w:r>
      <w:r w:rsidR="006618B1">
        <w:rPr>
          <w:rStyle w:val="FootnoteReference"/>
          <w:rFonts w:ascii="Times Roman" w:hAnsi="Times Roman"/>
          <w:lang w:val="en-GB"/>
        </w:rPr>
        <w:footnoteReference w:id="83"/>
      </w:r>
      <w:r w:rsidR="00A55509">
        <w:rPr>
          <w:rFonts w:ascii="Times Roman" w:hAnsi="Times Roman"/>
          <w:lang w:val="en-GB"/>
        </w:rPr>
        <w:t xml:space="preserve"> </w:t>
      </w:r>
      <w:r w:rsidR="00A731E1">
        <w:rPr>
          <w:rFonts w:ascii="Times Roman" w:hAnsi="Times Roman"/>
          <w:lang w:val="en-GB"/>
        </w:rPr>
        <w:t xml:space="preserve">Siddiqui employed multiple strategies in his attempts to serve the needs of MCC. These included attempts to negotiate a holdback of precious metals to protect </w:t>
      </w:r>
      <w:r w:rsidR="00A731E1">
        <w:rPr>
          <w:rFonts w:ascii="Times Roman" w:hAnsi="Times Roman"/>
          <w:lang w:val="en-GB"/>
        </w:rPr>
        <w:lastRenderedPageBreak/>
        <w:t xml:space="preserve">MCC’s claims for payment and communicating threats to </w:t>
      </w:r>
      <w:r w:rsidR="008F554E">
        <w:rPr>
          <w:rFonts w:ascii="Times Roman" w:hAnsi="Times Roman"/>
          <w:lang w:val="en-GB"/>
        </w:rPr>
        <w:t xml:space="preserve">C1 that </w:t>
      </w:r>
      <w:r w:rsidR="00A731E1">
        <w:rPr>
          <w:rFonts w:ascii="Times Roman" w:hAnsi="Times Roman"/>
          <w:lang w:val="en-GB"/>
        </w:rPr>
        <w:t>MCC</w:t>
      </w:r>
      <w:r w:rsidR="008F554E">
        <w:rPr>
          <w:rFonts w:ascii="Times Roman" w:hAnsi="Times Roman"/>
          <w:lang w:val="en-GB"/>
        </w:rPr>
        <w:t xml:space="preserve"> </w:t>
      </w:r>
      <w:r w:rsidR="00A731E1">
        <w:rPr>
          <w:rFonts w:ascii="Times Roman" w:hAnsi="Times Roman"/>
          <w:lang w:val="en-GB"/>
        </w:rPr>
        <w:t>could</w:t>
      </w:r>
      <w:r w:rsidR="008F554E">
        <w:rPr>
          <w:rFonts w:ascii="Times Roman" w:hAnsi="Times Roman"/>
          <w:lang w:val="en-GB"/>
        </w:rPr>
        <w:t xml:space="preserve"> bypass UM and communicate directly to UM’s clients to advise them that their mortgag</w:t>
      </w:r>
      <w:r w:rsidR="0039364D">
        <w:rPr>
          <w:rFonts w:ascii="Times Roman" w:hAnsi="Times Roman"/>
          <w:lang w:val="en-GB"/>
        </w:rPr>
        <w:t>e</w:t>
      </w:r>
      <w:r w:rsidR="008F554E">
        <w:rPr>
          <w:rFonts w:ascii="Times Roman" w:hAnsi="Times Roman"/>
          <w:lang w:val="en-GB"/>
        </w:rPr>
        <w:t>s would no longer be Sharia compliant.</w:t>
      </w:r>
      <w:r w:rsidR="008F554E">
        <w:rPr>
          <w:rStyle w:val="FootnoteReference"/>
          <w:rFonts w:ascii="Times Roman" w:hAnsi="Times Roman"/>
          <w:lang w:val="en-GB"/>
        </w:rPr>
        <w:footnoteReference w:id="84"/>
      </w:r>
      <w:r w:rsidR="006B6A8C" w:rsidRPr="008F554E">
        <w:rPr>
          <w:rFonts w:ascii="Times Roman" w:hAnsi="Times Roman"/>
          <w:lang w:val="en-GB"/>
        </w:rPr>
        <w:t xml:space="preserve"> </w:t>
      </w:r>
      <w:r w:rsidR="00A731E1">
        <w:rPr>
          <w:rFonts w:ascii="Times Roman" w:hAnsi="Times Roman"/>
          <w:lang w:val="en-GB"/>
        </w:rPr>
        <w:t>Siddiqui referred to such tactics as “litigation strategies” designed to motivate C1 and GTL to negotiate with MCC.</w:t>
      </w:r>
    </w:p>
    <w:p w14:paraId="25EDAB43" w14:textId="459056D8" w:rsidR="00E23AA5" w:rsidRDefault="00E23AA5"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However, as </w:t>
      </w:r>
      <w:r w:rsidR="00594447">
        <w:rPr>
          <w:rFonts w:ascii="Times Roman" w:hAnsi="Times Roman"/>
          <w:lang w:val="en-GB"/>
        </w:rPr>
        <w:t>the situation deteriorated, Siddiqui</w:t>
      </w:r>
      <w:r>
        <w:rPr>
          <w:rFonts w:ascii="Times Roman" w:hAnsi="Times Roman"/>
          <w:lang w:val="en-GB"/>
        </w:rPr>
        <w:t xml:space="preserve"> was receiving pressure both public</w:t>
      </w:r>
      <w:r w:rsidR="004C10BF">
        <w:rPr>
          <w:rFonts w:ascii="Times Roman" w:hAnsi="Times Roman"/>
          <w:lang w:val="en-GB"/>
        </w:rPr>
        <w:t>ly</w:t>
      </w:r>
      <w:r>
        <w:rPr>
          <w:rFonts w:ascii="Times Roman" w:hAnsi="Times Roman"/>
          <w:lang w:val="en-GB"/>
        </w:rPr>
        <w:t>, in media stories, and internally from counsel for G</w:t>
      </w:r>
      <w:r w:rsidR="00594447">
        <w:rPr>
          <w:rFonts w:ascii="Times Roman" w:hAnsi="Times Roman"/>
          <w:lang w:val="en-GB"/>
        </w:rPr>
        <w:t>TL</w:t>
      </w:r>
      <w:r>
        <w:rPr>
          <w:rFonts w:ascii="Times Roman" w:hAnsi="Times Roman"/>
          <w:lang w:val="en-GB"/>
        </w:rPr>
        <w:t xml:space="preserve"> and C1.</w:t>
      </w:r>
      <w:r w:rsidR="0039364D">
        <w:rPr>
          <w:rStyle w:val="FootnoteReference"/>
          <w:rFonts w:ascii="Times Roman" w:hAnsi="Times Roman"/>
          <w:lang w:val="en-GB"/>
        </w:rPr>
        <w:footnoteReference w:id="85"/>
      </w:r>
      <w:r>
        <w:rPr>
          <w:rFonts w:ascii="Times Roman" w:hAnsi="Times Roman"/>
          <w:lang w:val="en-GB"/>
        </w:rPr>
        <w:t xml:space="preserve"> The pressures no longer had to do with the intervener application. Mr. Siddiqui became more concerned with protecting his own reputation and insulating himself from any allegations of professional wrongdoing</w:t>
      </w:r>
      <w:r w:rsidR="001462D0">
        <w:rPr>
          <w:rFonts w:ascii="Times Roman" w:hAnsi="Times Roman"/>
          <w:lang w:val="en-GB"/>
        </w:rPr>
        <w:t>. He expressed this in an email to Mr. Kalair and his associate, Tariq</w:t>
      </w:r>
      <w:r w:rsidR="001462D0">
        <w:rPr>
          <w:rStyle w:val="FootnoteReference"/>
          <w:rFonts w:ascii="Times Roman" w:hAnsi="Times Roman"/>
          <w:lang w:val="en-GB"/>
        </w:rPr>
        <w:footnoteReference w:id="86"/>
      </w:r>
      <w:r w:rsidR="001462D0">
        <w:rPr>
          <w:rFonts w:ascii="Times Roman" w:hAnsi="Times Roman"/>
          <w:lang w:val="en-GB"/>
        </w:rPr>
        <w:t>:</w:t>
      </w:r>
      <w:r>
        <w:rPr>
          <w:rFonts w:ascii="Times Roman" w:hAnsi="Times Roman"/>
          <w:lang w:val="en-GB"/>
        </w:rPr>
        <w:t xml:space="preserve"> </w:t>
      </w:r>
    </w:p>
    <w:p w14:paraId="5B0A7372" w14:textId="4481D41B" w:rsidR="001462D0" w:rsidRDefault="001462D0" w:rsidP="001462D0">
      <w:pPr>
        <w:pStyle w:val="ListParagraph"/>
        <w:shd w:val="clear" w:color="auto" w:fill="FFFFFF"/>
        <w:spacing w:after="120" w:line="360" w:lineRule="auto"/>
        <w:contextualSpacing w:val="0"/>
        <w:jc w:val="both"/>
        <w:rPr>
          <w:rFonts w:ascii="Times Roman" w:hAnsi="Times Roman"/>
          <w:lang w:val="en-GB"/>
        </w:rPr>
      </w:pPr>
      <w:r>
        <w:rPr>
          <w:rFonts w:ascii="Times Roman" w:hAnsi="Times Roman"/>
          <w:lang w:val="en-GB"/>
        </w:rPr>
        <w:t>“I am not doing further work on this file today as we have been fighting fires all day. This is primarily due to the inappropriate action of sending the pay-out letters to the clients and circulation to the wider community. Respected lawyers in the community are now asking us if this is a joke and our name is being smeared.”</w:t>
      </w:r>
    </w:p>
    <w:p w14:paraId="1DD9E774" w14:textId="77777777" w:rsidR="001E32E1" w:rsidRDefault="001E32E1" w:rsidP="001E32E1">
      <w:pPr>
        <w:pStyle w:val="ListParagraph"/>
        <w:shd w:val="clear" w:color="auto" w:fill="FFFFFF"/>
        <w:spacing w:after="120" w:line="360" w:lineRule="auto"/>
        <w:ind w:left="0"/>
        <w:contextualSpacing w:val="0"/>
        <w:jc w:val="both"/>
        <w:rPr>
          <w:rFonts w:ascii="Times Roman" w:hAnsi="Times Roman"/>
          <w:lang w:val="en-GB"/>
        </w:rPr>
      </w:pPr>
    </w:p>
    <w:p w14:paraId="5C1A5081" w14:textId="4D5DB7F2" w:rsidR="00E23AA5" w:rsidRDefault="00594447"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As the pressure on Siddiqui mounted, Siddiqui adopted a ‘self-preservation mode’. He was motivated to </w:t>
      </w:r>
      <w:r w:rsidR="00E23AA5">
        <w:rPr>
          <w:rFonts w:ascii="Times Roman" w:hAnsi="Times Roman"/>
          <w:lang w:val="en-GB"/>
        </w:rPr>
        <w:t xml:space="preserve">gloss over </w:t>
      </w:r>
      <w:r w:rsidR="001462D0">
        <w:rPr>
          <w:rFonts w:ascii="Times Roman" w:hAnsi="Times Roman"/>
          <w:lang w:val="en-GB"/>
        </w:rPr>
        <w:t xml:space="preserve">the </w:t>
      </w:r>
      <w:r w:rsidR="00E23AA5">
        <w:rPr>
          <w:rFonts w:ascii="Times Roman" w:hAnsi="Times Roman"/>
          <w:lang w:val="en-GB"/>
        </w:rPr>
        <w:t>particulars of transactions</w:t>
      </w:r>
      <w:r>
        <w:rPr>
          <w:rFonts w:ascii="Times Roman" w:hAnsi="Times Roman"/>
          <w:lang w:val="en-GB"/>
        </w:rPr>
        <w:t>, asking few questions of his client and even fewer, if any, of Kalair, who was peripheral to his retainer.</w:t>
      </w:r>
      <w:r w:rsidR="00E23AA5">
        <w:rPr>
          <w:rFonts w:ascii="Times Roman" w:hAnsi="Times Roman"/>
          <w:lang w:val="en-GB"/>
        </w:rPr>
        <w:t xml:space="preserve"> Near the end</w:t>
      </w:r>
      <w:r w:rsidR="001462D0">
        <w:rPr>
          <w:rFonts w:ascii="Times Roman" w:hAnsi="Times Roman"/>
          <w:lang w:val="en-GB"/>
        </w:rPr>
        <w:t xml:space="preserve"> as the bankruptcy proceedings mounted</w:t>
      </w:r>
      <w:r w:rsidR="00E23AA5">
        <w:rPr>
          <w:rFonts w:ascii="Times Roman" w:hAnsi="Times Roman"/>
          <w:lang w:val="en-GB"/>
        </w:rPr>
        <w:t>, his goal was to find the most expeditious way to remove</w:t>
      </w:r>
      <w:r w:rsidR="001462D0">
        <w:rPr>
          <w:rFonts w:ascii="Times Roman" w:hAnsi="Times Roman"/>
          <w:lang w:val="en-GB"/>
        </w:rPr>
        <w:t xml:space="preserve"> himself as counsel on the file.</w:t>
      </w:r>
    </w:p>
    <w:p w14:paraId="2DD7A572" w14:textId="713D11DF" w:rsidR="0039364D" w:rsidRPr="0039364D" w:rsidRDefault="00594447"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It is with this context in mind that the defence addresses </w:t>
      </w:r>
      <w:r w:rsidR="00A55509">
        <w:rPr>
          <w:rFonts w:ascii="Times Roman" w:hAnsi="Times Roman"/>
          <w:lang w:val="en-GB"/>
        </w:rPr>
        <w:t>Siddiqui</w:t>
      </w:r>
      <w:r>
        <w:rPr>
          <w:rFonts w:ascii="Times Roman" w:hAnsi="Times Roman"/>
          <w:lang w:val="en-GB"/>
        </w:rPr>
        <w:t>’s</w:t>
      </w:r>
      <w:r w:rsidR="00A55509">
        <w:rPr>
          <w:rFonts w:ascii="Times Roman" w:hAnsi="Times Roman"/>
          <w:lang w:val="en-GB"/>
        </w:rPr>
        <w:t xml:space="preserve"> </w:t>
      </w:r>
      <w:r>
        <w:rPr>
          <w:rFonts w:ascii="Times Roman" w:hAnsi="Times Roman"/>
          <w:lang w:val="en-GB"/>
        </w:rPr>
        <w:t xml:space="preserve">evidence that he questioned Kalair about the whereabouts of the gold </w:t>
      </w:r>
      <w:r w:rsidR="004C10BF">
        <w:rPr>
          <w:rFonts w:ascii="Times Roman" w:hAnsi="Times Roman"/>
          <w:lang w:val="en-GB"/>
        </w:rPr>
        <w:t>t</w:t>
      </w:r>
      <w:r>
        <w:rPr>
          <w:rFonts w:ascii="Times Roman" w:hAnsi="Times Roman"/>
          <w:lang w:val="en-GB"/>
        </w:rPr>
        <w:t>o which</w:t>
      </w:r>
      <w:r w:rsidR="00A55509">
        <w:rPr>
          <w:rFonts w:ascii="Times Roman" w:hAnsi="Times Roman"/>
          <w:lang w:val="en-GB"/>
        </w:rPr>
        <w:t xml:space="preserve"> Kalair </w:t>
      </w:r>
      <w:r>
        <w:rPr>
          <w:rFonts w:ascii="Times Roman" w:hAnsi="Times Roman"/>
          <w:lang w:val="en-GB"/>
        </w:rPr>
        <w:t>is alleged to have</w:t>
      </w:r>
      <w:r w:rsidR="004C10BF">
        <w:rPr>
          <w:rFonts w:ascii="Times Roman" w:hAnsi="Times Roman"/>
          <w:lang w:val="en-GB"/>
        </w:rPr>
        <w:t xml:space="preserve"> caused Siddiqui to understand that,</w:t>
      </w:r>
      <w:r w:rsidR="00A55509">
        <w:rPr>
          <w:rFonts w:ascii="Times" w:hAnsi="Times" w:cs="Times"/>
        </w:rPr>
        <w:t>“i</w:t>
      </w:r>
      <w:r w:rsidR="00A55509" w:rsidRPr="008F3B6A">
        <w:rPr>
          <w:rFonts w:ascii="Times" w:hAnsi="Times" w:cs="Times"/>
        </w:rPr>
        <w:t>f I knew</w:t>
      </w:r>
      <w:r w:rsidR="00A55509">
        <w:rPr>
          <w:rFonts w:ascii="Times" w:hAnsi="Times" w:cs="Times"/>
        </w:rPr>
        <w:t>,</w:t>
      </w:r>
      <w:r w:rsidR="00A55509" w:rsidRPr="008F3B6A">
        <w:rPr>
          <w:rFonts w:ascii="Times" w:hAnsi="Times" w:cs="Times"/>
        </w:rPr>
        <w:t xml:space="preserve"> I would have to disclose it</w:t>
      </w:r>
      <w:r w:rsidR="00A55509">
        <w:rPr>
          <w:rFonts w:ascii="Times" w:hAnsi="Times" w:cs="Times"/>
        </w:rPr>
        <w:t>”.</w:t>
      </w:r>
      <w:r w:rsidR="00A55509">
        <w:rPr>
          <w:rStyle w:val="FootnoteReference"/>
          <w:rFonts w:ascii="Times" w:hAnsi="Times" w:cs="Times"/>
        </w:rPr>
        <w:footnoteReference w:id="87"/>
      </w:r>
      <w:r w:rsidR="00A55509">
        <w:rPr>
          <w:rFonts w:ascii="Times" w:hAnsi="Times" w:cs="Times"/>
        </w:rPr>
        <w:t xml:space="preserve"> </w:t>
      </w:r>
      <w:r>
        <w:rPr>
          <w:rFonts w:ascii="Times" w:hAnsi="Times" w:cs="Times"/>
        </w:rPr>
        <w:t>It is highly unusual that Siddiqui, concerned as he was at this time about his own professional obligations and reputation, made no reference to such a critically inculpatory</w:t>
      </w:r>
      <w:r w:rsidR="00FC392E">
        <w:rPr>
          <w:rFonts w:ascii="Times" w:hAnsi="Times" w:cs="Times"/>
        </w:rPr>
        <w:t xml:space="preserve"> exchange </w:t>
      </w:r>
      <w:r w:rsidR="00FC392E">
        <w:rPr>
          <w:rFonts w:ascii="Times" w:hAnsi="Times" w:cs="Times"/>
        </w:rPr>
        <w:lastRenderedPageBreak/>
        <w:t xml:space="preserve">anywhere in his vast array of e-mails, letters, or file memos. </w:t>
      </w:r>
      <w:r w:rsidR="00A55509">
        <w:rPr>
          <w:rFonts w:ascii="Times" w:hAnsi="Times" w:cs="Times"/>
        </w:rPr>
        <w:t xml:space="preserve">Such a </w:t>
      </w:r>
      <w:r w:rsidR="00FC392E">
        <w:rPr>
          <w:rFonts w:ascii="Times" w:hAnsi="Times" w:cs="Times"/>
        </w:rPr>
        <w:t>suspicious</w:t>
      </w:r>
      <w:r w:rsidR="00A55509">
        <w:rPr>
          <w:rFonts w:ascii="Times" w:hAnsi="Times" w:cs="Times"/>
        </w:rPr>
        <w:t xml:space="preserve"> exchange would surely </w:t>
      </w:r>
      <w:r w:rsidR="00FC392E">
        <w:rPr>
          <w:rFonts w:ascii="Times" w:hAnsi="Times" w:cs="Times"/>
        </w:rPr>
        <w:t xml:space="preserve">have </w:t>
      </w:r>
      <w:r w:rsidR="00A55509">
        <w:rPr>
          <w:rFonts w:ascii="Times" w:hAnsi="Times" w:cs="Times"/>
        </w:rPr>
        <w:t>be</w:t>
      </w:r>
      <w:r w:rsidR="00FC392E">
        <w:rPr>
          <w:rFonts w:ascii="Times" w:hAnsi="Times" w:cs="Times"/>
        </w:rPr>
        <w:t>en</w:t>
      </w:r>
      <w:r w:rsidR="00A55509">
        <w:rPr>
          <w:rFonts w:ascii="Times" w:hAnsi="Times" w:cs="Times"/>
        </w:rPr>
        <w:t xml:space="preserve"> </w:t>
      </w:r>
      <w:r w:rsidR="00FC392E">
        <w:rPr>
          <w:rFonts w:ascii="Times" w:hAnsi="Times" w:cs="Times"/>
        </w:rPr>
        <w:t xml:space="preserve">meticulously </w:t>
      </w:r>
      <w:r w:rsidR="00A55509">
        <w:rPr>
          <w:rFonts w:ascii="Times" w:hAnsi="Times" w:cs="Times"/>
        </w:rPr>
        <w:t xml:space="preserve">documented. </w:t>
      </w:r>
      <w:r w:rsidR="0039364D">
        <w:rPr>
          <w:rFonts w:ascii="Times" w:hAnsi="Times" w:cs="Times"/>
        </w:rPr>
        <w:t>Mr. Siddiqui agreed:</w:t>
      </w:r>
      <w:r w:rsidR="0039364D">
        <w:rPr>
          <w:rStyle w:val="FootnoteReference"/>
          <w:rFonts w:ascii="Times" w:hAnsi="Times" w:cs="Times"/>
        </w:rPr>
        <w:footnoteReference w:id="88"/>
      </w:r>
    </w:p>
    <w:p w14:paraId="2C35A4DA" w14:textId="3366A0A4" w:rsidR="0039364D" w:rsidRPr="0039364D" w:rsidRDefault="0039364D" w:rsidP="0039364D">
      <w:pPr>
        <w:pStyle w:val="ListParagraph"/>
        <w:shd w:val="clear" w:color="auto" w:fill="FFFFFF"/>
        <w:spacing w:after="120" w:line="360" w:lineRule="auto"/>
        <w:contextualSpacing w:val="0"/>
        <w:jc w:val="both"/>
        <w:rPr>
          <w:sz w:val="23"/>
          <w:szCs w:val="23"/>
        </w:rPr>
      </w:pPr>
      <w:r>
        <w:rPr>
          <w:sz w:val="23"/>
          <w:szCs w:val="23"/>
        </w:rPr>
        <w:t xml:space="preserve">Q. So I suggest to you that, first of all, the context of writing both a type-written e-mail like this and a hand-written addendum to it, you'd agree with me this is because now there's media on this, people are asking questions, and you're concerned that people, frankly, will ask questions about </w:t>
      </w:r>
      <w:r>
        <w:t xml:space="preserve">your conduct and your involvement too, right? </w:t>
      </w:r>
    </w:p>
    <w:p w14:paraId="21020614" w14:textId="77777777" w:rsidR="0039364D" w:rsidRDefault="0039364D" w:rsidP="0039364D">
      <w:pPr>
        <w:ind w:firstLine="720"/>
      </w:pPr>
      <w:r>
        <w:t xml:space="preserve">A. Right. </w:t>
      </w:r>
    </w:p>
    <w:p w14:paraId="3B6C89B0" w14:textId="77777777" w:rsidR="0039364D" w:rsidRDefault="0039364D" w:rsidP="0039364D"/>
    <w:p w14:paraId="65B000A9" w14:textId="77777777" w:rsidR="0039364D" w:rsidRDefault="0039364D" w:rsidP="0039364D">
      <w:pPr>
        <w:ind w:left="720"/>
      </w:pPr>
      <w:r>
        <w:t xml:space="preserve">Q. And perhaps the worst scenario is, or one of the worst scenarios, is exactly what ended up happening, which is that you're here, instead of at your practice doing work, years later answering questions about what you did seven years ago on this file. </w:t>
      </w:r>
    </w:p>
    <w:p w14:paraId="4DEAFC14" w14:textId="77777777" w:rsidR="0039364D" w:rsidRDefault="0039364D" w:rsidP="0039364D"/>
    <w:p w14:paraId="2C16339B" w14:textId="77777777" w:rsidR="0039364D" w:rsidRDefault="0039364D" w:rsidP="0039364D">
      <w:pPr>
        <w:ind w:firstLine="720"/>
      </w:pPr>
      <w:r>
        <w:t xml:space="preserve">A. Right. </w:t>
      </w:r>
    </w:p>
    <w:p w14:paraId="4AD56E9F" w14:textId="77777777" w:rsidR="0039364D" w:rsidRDefault="0039364D" w:rsidP="0039364D"/>
    <w:p w14:paraId="6AC67D79" w14:textId="77777777" w:rsidR="0039364D" w:rsidRDefault="0039364D" w:rsidP="0039364D">
      <w:pPr>
        <w:ind w:left="720"/>
      </w:pPr>
      <w:r>
        <w:t xml:space="preserve">Q. And it would therefore be important to include whatever critical information you could on such a memorative file to memorialize your recollection of an important meeting, correct? </w:t>
      </w:r>
    </w:p>
    <w:p w14:paraId="79019E0E" w14:textId="77777777" w:rsidR="0039364D" w:rsidRDefault="0039364D" w:rsidP="0039364D"/>
    <w:p w14:paraId="5BC885B0" w14:textId="77777777" w:rsidR="0039364D" w:rsidRDefault="0039364D" w:rsidP="0039364D">
      <w:pPr>
        <w:ind w:firstLine="720"/>
      </w:pPr>
      <w:r>
        <w:t xml:space="preserve">A. Yes. </w:t>
      </w:r>
    </w:p>
    <w:p w14:paraId="4E196630" w14:textId="77777777" w:rsidR="0039364D" w:rsidRDefault="0039364D" w:rsidP="0039364D"/>
    <w:p w14:paraId="3F7216E1" w14:textId="16E48E9B" w:rsidR="0039364D" w:rsidRDefault="0039364D" w:rsidP="0039364D">
      <w:pPr>
        <w:ind w:left="720"/>
      </w:pPr>
      <w:r>
        <w:t xml:space="preserve">Q. And you'd agree with me that neither in the type-written component nor in the hand-written component do you make any reference to asking anyone, whether it's Mr. Panchbhaya or Mr. Kalair who's got the gold? Where is the gold? Those questions are not memorialized in either the hand writing or the type-written component of this memo, correct? </w:t>
      </w:r>
    </w:p>
    <w:p w14:paraId="593F941E" w14:textId="77777777" w:rsidR="0039364D" w:rsidRPr="0039364D" w:rsidRDefault="0039364D" w:rsidP="0039364D">
      <w:pPr>
        <w:ind w:left="720"/>
      </w:pPr>
    </w:p>
    <w:p w14:paraId="5E5B9FE1" w14:textId="77222B7F" w:rsidR="0039364D" w:rsidRPr="0039364D" w:rsidRDefault="0039364D" w:rsidP="0039364D">
      <w:pPr>
        <w:pStyle w:val="ListParagraph"/>
        <w:shd w:val="clear" w:color="auto" w:fill="FFFFFF"/>
        <w:spacing w:after="120" w:line="360" w:lineRule="auto"/>
        <w:ind w:left="0" w:firstLine="720"/>
        <w:contextualSpacing w:val="0"/>
        <w:jc w:val="both"/>
        <w:rPr>
          <w:rFonts w:ascii="Times Roman" w:hAnsi="Times Roman"/>
          <w:lang w:val="en-GB"/>
        </w:rPr>
      </w:pPr>
      <w:r>
        <w:rPr>
          <w:sz w:val="23"/>
          <w:szCs w:val="23"/>
        </w:rPr>
        <w:t>A. Yes.</w:t>
      </w:r>
    </w:p>
    <w:p w14:paraId="201FCEB6" w14:textId="2F28B927" w:rsidR="00EA0D07" w:rsidRDefault="00A55509"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w:hAnsi="Times" w:cs="Times"/>
        </w:rPr>
        <w:t>It is evidence that is self-serving</w:t>
      </w:r>
      <w:r w:rsidR="00FC392E">
        <w:rPr>
          <w:rFonts w:ascii="Times" w:hAnsi="Times" w:cs="Times"/>
        </w:rPr>
        <w:t>,</w:t>
      </w:r>
      <w:r>
        <w:rPr>
          <w:rFonts w:ascii="Times" w:hAnsi="Times" w:cs="Times"/>
        </w:rPr>
        <w:t xml:space="preserve"> </w:t>
      </w:r>
      <w:r w:rsidR="00FC392E">
        <w:rPr>
          <w:rFonts w:ascii="Times" w:hAnsi="Times" w:cs="Times"/>
        </w:rPr>
        <w:t xml:space="preserve">not corroborated in </w:t>
      </w:r>
      <w:r>
        <w:rPr>
          <w:rFonts w:ascii="Times" w:hAnsi="Times" w:cs="Times"/>
        </w:rPr>
        <w:t>the documents</w:t>
      </w:r>
      <w:r w:rsidR="00FC392E">
        <w:rPr>
          <w:rFonts w:ascii="Times" w:hAnsi="Times" w:cs="Times"/>
        </w:rPr>
        <w:t xml:space="preserve">, and arises for the very first time seven years after the fact. The defence submits, in accordance with Kalair’s evidence on this point, that Siddiqui never inquired as to the whereabouts or details of the gold. It is not – as Siddiqui now wants it believed – that Kalair refused to tell him. Rather, it is that Siddiqui never wanted to know in the first place. By this late stage, Siddiqui was operating under the assumption that the fewer questions he asked the </w:t>
      </w:r>
      <w:r w:rsidR="00FC392E">
        <w:rPr>
          <w:rFonts w:ascii="Times" w:hAnsi="Times" w:cs="Times"/>
        </w:rPr>
        <w:lastRenderedPageBreak/>
        <w:t>better and the less he knew the sooner he would be able to extricate himself from a client (MCC) who was causing him increasing reputational harm.</w:t>
      </w:r>
    </w:p>
    <w:p w14:paraId="189543DA" w14:textId="77777777" w:rsidR="00BB4BEB" w:rsidRPr="007D62F9" w:rsidRDefault="00BB4BEB" w:rsidP="00BB4BEB">
      <w:pPr>
        <w:pStyle w:val="Heading3"/>
        <w:rPr>
          <w:color w:val="auto"/>
          <w:lang w:val="en-GB"/>
        </w:rPr>
      </w:pPr>
      <w:bookmarkStart w:id="26" w:name="_Toc411085414"/>
      <w:bookmarkStart w:id="27" w:name="_Toc411860403"/>
      <w:r w:rsidRPr="007D62F9">
        <w:rPr>
          <w:color w:val="auto"/>
          <w:lang w:val="en-GB"/>
        </w:rPr>
        <w:t>vi. Evidence of Roch Dupont</w:t>
      </w:r>
      <w:bookmarkEnd w:id="26"/>
      <w:bookmarkEnd w:id="27"/>
    </w:p>
    <w:p w14:paraId="3158D358" w14:textId="77777777" w:rsidR="00BB4BEB" w:rsidRDefault="00BB4BEB" w:rsidP="00C87CF5">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 xml:space="preserve">As discussed above, the charges against Mr. Kalair can be broken down into two distinct groups. The evidence of Mr. Dupont relates to the second group: failure to perform the duties of a bankrupt and unlawful refusal or neglect to answer fully and truthfully. Both charges are under the Bankruptcy and Insolvency Act. The defence submits that the evidence of Mr. Dupont in combination with the evidence of Mr. Thompson, demonstrates unequivocally that Mr. Kalair adequately performed the duties of a bankrupt and answered fully and truthfully the questions posed to him during his bankruptcy examination of February 14, 2013. </w:t>
      </w:r>
    </w:p>
    <w:p w14:paraId="37B0A5F2" w14:textId="77777777" w:rsidR="00BB4BEB" w:rsidRPr="008A3C1E" w:rsidRDefault="00BB4BEB" w:rsidP="00BB4BEB">
      <w:pPr>
        <w:pStyle w:val="ListParagraph"/>
        <w:spacing w:after="120" w:line="360" w:lineRule="auto"/>
        <w:ind w:left="0"/>
        <w:contextualSpacing w:val="0"/>
        <w:jc w:val="both"/>
        <w:rPr>
          <w:rFonts w:ascii="Times" w:hAnsi="Times" w:cs="Times"/>
        </w:rPr>
      </w:pPr>
    </w:p>
    <w:p w14:paraId="0EDAF9A0" w14:textId="77777777" w:rsidR="00BB4BEB" w:rsidRDefault="00BB4BEB" w:rsidP="00BB4BEB">
      <w:pPr>
        <w:pStyle w:val="Heading4"/>
        <w:ind w:firstLine="720"/>
        <w:rPr>
          <w:color w:val="auto"/>
          <w:lang w:val="en-GB"/>
        </w:rPr>
      </w:pPr>
      <w:bookmarkStart w:id="28" w:name="_Toc411085415"/>
      <w:bookmarkStart w:id="29" w:name="_Toc411860404"/>
      <w:r>
        <w:rPr>
          <w:color w:val="auto"/>
          <w:lang w:val="en-GB"/>
        </w:rPr>
        <w:t xml:space="preserve">Charge 1: </w:t>
      </w:r>
      <w:r w:rsidRPr="00BD6F34">
        <w:rPr>
          <w:color w:val="auto"/>
          <w:lang w:val="en-GB"/>
        </w:rPr>
        <w:t>Failure to Perform Duties of a Bankrupt</w:t>
      </w:r>
      <w:bookmarkEnd w:id="28"/>
      <w:bookmarkEnd w:id="29"/>
    </w:p>
    <w:p w14:paraId="01A73842" w14:textId="77777777" w:rsidR="00BB4BEB" w:rsidRPr="00966CFF" w:rsidRDefault="00BB4BEB" w:rsidP="00BB4BEB"/>
    <w:p w14:paraId="0725FA3F" w14:textId="77777777" w:rsidR="00BB4BEB" w:rsidRPr="00BD6F34" w:rsidRDefault="00BB4BEB" w:rsidP="00BB4BEB">
      <w:pPr>
        <w:rPr>
          <w:lang w:val="en-GB"/>
        </w:rPr>
      </w:pPr>
    </w:p>
    <w:p w14:paraId="56FDF431" w14:textId="77777777"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At paragraph 35 of their submissions, the Crown effectively alleges that Mr. Kalair failed to perform the duties of a bankrupt in four different ways, failing to attend before the Official Receiver as required, failing to deliver to the trustee all books, records and documents and property relating to the bankrupts affairs, failing to disclose to the trustee all property disposed of within a year of the initial bankruptcy and failure to attend at the first meeting of creditors. </w:t>
      </w:r>
    </w:p>
    <w:p w14:paraId="678DCEB5" w14:textId="77777777" w:rsidR="00BB4BEB" w:rsidRPr="009532C7" w:rsidRDefault="00BB4BEB" w:rsidP="00BB4BEB">
      <w:pPr>
        <w:pStyle w:val="ListParagraph"/>
        <w:shd w:val="clear" w:color="auto" w:fill="FFFFFF"/>
        <w:spacing w:after="120" w:line="360" w:lineRule="auto"/>
        <w:ind w:left="0"/>
        <w:contextualSpacing w:val="0"/>
        <w:jc w:val="both"/>
        <w:rPr>
          <w:rFonts w:ascii="Times Roman" w:hAnsi="Times Roman"/>
        </w:rPr>
      </w:pPr>
    </w:p>
    <w:p w14:paraId="463FE240" w14:textId="77777777" w:rsidR="00BB4BEB" w:rsidRDefault="00BB4BEB" w:rsidP="00C87CF5">
      <w:pPr>
        <w:pStyle w:val="ListParagraph"/>
        <w:numPr>
          <w:ilvl w:val="0"/>
          <w:numId w:val="8"/>
        </w:numPr>
        <w:rPr>
          <w:rFonts w:ascii="Times Roman" w:hAnsi="Times Roman"/>
          <w:b/>
        </w:rPr>
      </w:pPr>
      <w:r w:rsidRPr="00DC767E">
        <w:rPr>
          <w:rFonts w:ascii="Times Roman" w:hAnsi="Times Roman"/>
          <w:b/>
        </w:rPr>
        <w:t>Failure to attend before the Official Receiver as required</w:t>
      </w:r>
    </w:p>
    <w:p w14:paraId="1BD78BB1" w14:textId="77777777" w:rsidR="00BB4BEB" w:rsidRPr="00DC767E" w:rsidRDefault="00BB4BEB" w:rsidP="00BB4BEB">
      <w:pPr>
        <w:pStyle w:val="ListParagraph"/>
        <w:rPr>
          <w:rFonts w:ascii="Times Roman" w:hAnsi="Times Roman"/>
          <w:b/>
        </w:rPr>
      </w:pPr>
    </w:p>
    <w:p w14:paraId="3716C1FE" w14:textId="77777777" w:rsidR="00BB4BEB" w:rsidRPr="00966CFF"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lang w:val="en-GB"/>
        </w:rPr>
        <w:t>On January 24, 2012, Mr. Dupont sent a formal Notice of Examination to Mr. Kalair’s home address.</w:t>
      </w:r>
      <w:r>
        <w:rPr>
          <w:rStyle w:val="FootnoteReference"/>
          <w:rFonts w:ascii="Times Roman" w:hAnsi="Times Roman"/>
          <w:lang w:val="en-GB"/>
        </w:rPr>
        <w:footnoteReference w:id="89"/>
      </w:r>
      <w:r>
        <w:rPr>
          <w:rFonts w:ascii="Times Roman" w:hAnsi="Times Roman"/>
          <w:lang w:val="en-GB"/>
        </w:rPr>
        <w:t xml:space="preserve"> </w:t>
      </w:r>
      <w:r>
        <w:rPr>
          <w:rFonts w:ascii="Times Roman" w:hAnsi="Times Roman"/>
        </w:rPr>
        <w:t>Mr. Kalair</w:t>
      </w:r>
      <w:r w:rsidRPr="00966CFF">
        <w:rPr>
          <w:rFonts w:ascii="Times Roman" w:hAnsi="Times Roman"/>
          <w:lang w:val="en-GB"/>
        </w:rPr>
        <w:t xml:space="preserve"> was directed to attend for examination on February 8, 2012. The Crown alleges that he did not attend without adequate reason. The evidence suggests otherwise. </w:t>
      </w:r>
    </w:p>
    <w:p w14:paraId="7F1D0C0E" w14:textId="77777777"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Notice of Examination was sent only two weeks prior to the scheduled examination. This date was set without consultation with Mr. Kalair and without any consideration of his schedule. </w:t>
      </w:r>
    </w:p>
    <w:p w14:paraId="18646CAD" w14:textId="77777777" w:rsidR="00BB4BEB" w:rsidRPr="00491499"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lang w:val="en-GB"/>
        </w:rPr>
        <w:lastRenderedPageBreak/>
        <w:t>When Mr. Kalair received the Notice, he immediately took steps to retain counsel and obtain advice with respect to his legal obligations. On February 1, 2012, Mr. Harvin Pitch of Teplitsky Colson LLP wrote directly to Mr. Dupont.</w:t>
      </w:r>
      <w:r>
        <w:rPr>
          <w:rStyle w:val="FootnoteReference"/>
          <w:rFonts w:ascii="Times Roman" w:hAnsi="Times Roman"/>
          <w:lang w:val="en-GB"/>
        </w:rPr>
        <w:footnoteReference w:id="90"/>
      </w:r>
      <w:r>
        <w:rPr>
          <w:rFonts w:ascii="Times Roman" w:hAnsi="Times Roman"/>
          <w:lang w:val="en-GB"/>
        </w:rPr>
        <w:t xml:space="preserve"> Mr. Pitch advised him </w:t>
      </w:r>
      <w:r w:rsidRPr="00850AD8">
        <w:rPr>
          <w:rFonts w:ascii="Times Roman" w:hAnsi="Times Roman"/>
          <w:lang w:val="en-GB"/>
        </w:rPr>
        <w:t xml:space="preserve">that Mr. Kalair </w:t>
      </w:r>
      <w:r>
        <w:rPr>
          <w:rFonts w:ascii="Times Roman" w:hAnsi="Times Roman"/>
          <w:u w:val="single"/>
          <w:lang w:val="en-GB"/>
        </w:rPr>
        <w:t>“intends to co-operate with your request in accordance with his obligations”.</w:t>
      </w:r>
      <w:r>
        <w:rPr>
          <w:rStyle w:val="FootnoteReference"/>
          <w:rFonts w:ascii="Times Roman" w:hAnsi="Times Roman"/>
          <w:u w:val="single"/>
          <w:lang w:val="en-GB"/>
        </w:rPr>
        <w:footnoteReference w:id="91"/>
      </w:r>
      <w:r>
        <w:rPr>
          <w:rFonts w:ascii="Times Roman" w:hAnsi="Times Roman"/>
          <w:lang w:val="en-GB"/>
        </w:rPr>
        <w:t xml:space="preserve"> </w:t>
      </w:r>
    </w:p>
    <w:p w14:paraId="5FA9D86D" w14:textId="564CA6B5"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lang w:val="en-GB"/>
        </w:rPr>
        <w:t>However, in saying that, it was Mr. Pitch’s position that because Mr. Kalair had resigned as</w:t>
      </w:r>
      <w:r>
        <w:rPr>
          <w:rFonts w:ascii="Times Roman" w:hAnsi="Times Roman"/>
        </w:rPr>
        <w:t xml:space="preserve"> Director of UM as of October 6, 2011 and because he </w:t>
      </w:r>
      <w:r w:rsidR="000C243E">
        <w:rPr>
          <w:rFonts w:ascii="Times Roman" w:hAnsi="Times Roman"/>
        </w:rPr>
        <w:t>had</w:t>
      </w:r>
      <w:r>
        <w:rPr>
          <w:rFonts w:ascii="Times Roman" w:hAnsi="Times Roman"/>
        </w:rPr>
        <w:t xml:space="preserve"> already </w:t>
      </w:r>
      <w:r w:rsidR="000C243E">
        <w:rPr>
          <w:rFonts w:ascii="Times Roman" w:hAnsi="Times Roman"/>
        </w:rPr>
        <w:t xml:space="preserve">been </w:t>
      </w:r>
      <w:r>
        <w:rPr>
          <w:rFonts w:ascii="Times Roman" w:hAnsi="Times Roman"/>
        </w:rPr>
        <w:t>examined thoroughly by counsel for the receiver on November 25, 2011, that “the further attendance of Mr. Kalair is unnecessary”.</w:t>
      </w:r>
      <w:r>
        <w:rPr>
          <w:rStyle w:val="FootnoteReference"/>
          <w:rFonts w:ascii="Times Roman" w:hAnsi="Times Roman"/>
        </w:rPr>
        <w:footnoteReference w:id="92"/>
      </w:r>
      <w:r>
        <w:rPr>
          <w:rFonts w:ascii="Times Roman" w:hAnsi="Times Roman"/>
        </w:rPr>
        <w:t xml:space="preserve"> In order to assist Mr. Dupont</w:t>
      </w:r>
      <w:r w:rsidRPr="007D2191">
        <w:rPr>
          <w:rFonts w:ascii="Times Roman" w:hAnsi="Times Roman"/>
        </w:rPr>
        <w:t xml:space="preserve"> in determining w</w:t>
      </w:r>
      <w:r>
        <w:rPr>
          <w:rFonts w:ascii="Times Roman" w:hAnsi="Times Roman"/>
        </w:rPr>
        <w:t>hether the previous examination</w:t>
      </w:r>
      <w:r w:rsidRPr="007D2191">
        <w:rPr>
          <w:rFonts w:ascii="Times Roman" w:hAnsi="Times Roman"/>
        </w:rPr>
        <w:t xml:space="preserve"> would b</w:t>
      </w:r>
      <w:r>
        <w:rPr>
          <w:rFonts w:ascii="Times Roman" w:hAnsi="Times Roman"/>
        </w:rPr>
        <w:t>e sufficient, Mr. Pitch attached</w:t>
      </w:r>
      <w:r w:rsidRPr="007D2191">
        <w:rPr>
          <w:rFonts w:ascii="Times Roman" w:hAnsi="Times Roman"/>
        </w:rPr>
        <w:t xml:space="preserve"> a transcript of said examination. </w:t>
      </w:r>
    </w:p>
    <w:p w14:paraId="11E0B48D" w14:textId="3F1AA047"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Despite having received this letter, Mr. Dupont issued a Notice of Failure to Attend the E</w:t>
      </w:r>
      <w:r w:rsidRPr="00F575BB">
        <w:rPr>
          <w:rFonts w:ascii="Times Roman" w:hAnsi="Times Roman"/>
        </w:rPr>
        <w:t>xamination</w:t>
      </w:r>
      <w:r>
        <w:rPr>
          <w:rFonts w:ascii="Times Roman" w:hAnsi="Times Roman"/>
        </w:rPr>
        <w:t xml:space="preserve"> on February 10, 2012. Mr. Dupont “believed” he responded to Mr. Pitch’s letter, but no documentary evidence was provided</w:t>
      </w:r>
      <w:r w:rsidR="004C7B25">
        <w:rPr>
          <w:rFonts w:ascii="Times Roman" w:hAnsi="Times Roman"/>
        </w:rPr>
        <w:t xml:space="preserve"> to support this belief.</w:t>
      </w:r>
      <w:r w:rsidR="004C7B25">
        <w:rPr>
          <w:rStyle w:val="FootnoteReference"/>
          <w:rFonts w:ascii="Times Roman" w:hAnsi="Times Roman"/>
        </w:rPr>
        <w:footnoteReference w:id="93"/>
      </w:r>
      <w:r w:rsidR="004C7B25">
        <w:rPr>
          <w:rFonts w:ascii="Times Roman" w:hAnsi="Times Roman"/>
        </w:rPr>
        <w:t xml:space="preserve"> </w:t>
      </w:r>
      <w:r w:rsidR="003000B9">
        <w:rPr>
          <w:rFonts w:ascii="Times Roman" w:hAnsi="Times Roman"/>
        </w:rPr>
        <w:t xml:space="preserve">However, it is unlikely Dupont responded to Pitch even </w:t>
      </w:r>
      <w:r>
        <w:rPr>
          <w:rFonts w:ascii="Times Roman" w:hAnsi="Times Roman"/>
        </w:rPr>
        <w:t xml:space="preserve">by telephone </w:t>
      </w:r>
      <w:r w:rsidR="003000B9">
        <w:rPr>
          <w:rFonts w:ascii="Times Roman" w:hAnsi="Times Roman"/>
        </w:rPr>
        <w:t>as</w:t>
      </w:r>
      <w:r>
        <w:rPr>
          <w:rFonts w:ascii="Times Roman" w:hAnsi="Times Roman"/>
        </w:rPr>
        <w:t xml:space="preserve"> Pitch indicates in his letter that he was out of the country from February 2-February 10</w:t>
      </w:r>
      <w:r w:rsidRPr="00F575BB">
        <w:rPr>
          <w:rFonts w:ascii="Times Roman" w:hAnsi="Times Roman"/>
          <w:vertAlign w:val="superscript"/>
        </w:rPr>
        <w:t>th</w:t>
      </w:r>
      <w:r>
        <w:rPr>
          <w:rFonts w:ascii="Times Roman" w:hAnsi="Times Roman"/>
        </w:rPr>
        <w:t xml:space="preserve">, the day in which the Notice for Failure to Attend would have been administered. </w:t>
      </w:r>
    </w:p>
    <w:p w14:paraId="747B4EB9" w14:textId="77777777"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According to Mr. Dupont’s evidence, what transpired after February 10</w:t>
      </w:r>
      <w:r w:rsidRPr="00F575BB">
        <w:rPr>
          <w:rFonts w:ascii="Times Roman" w:hAnsi="Times Roman"/>
          <w:vertAlign w:val="superscript"/>
        </w:rPr>
        <w:t>th</w:t>
      </w:r>
      <w:r>
        <w:rPr>
          <w:rFonts w:ascii="Times Roman" w:hAnsi="Times Roman"/>
        </w:rPr>
        <w:t xml:space="preserve"> is as follows:</w:t>
      </w:r>
    </w:p>
    <w:p w14:paraId="34DAD446" w14:textId="54308FF0" w:rsidR="00BB4BEB" w:rsidRPr="003000B9" w:rsidRDefault="00BB4BEB" w:rsidP="003000B9">
      <w:pPr>
        <w:pStyle w:val="ListParagraph"/>
        <w:shd w:val="clear" w:color="auto" w:fill="FFFFFF"/>
        <w:spacing w:after="120" w:line="360" w:lineRule="auto"/>
        <w:ind w:left="1440"/>
        <w:contextualSpacing w:val="0"/>
        <w:jc w:val="both"/>
        <w:rPr>
          <w:rFonts w:ascii="Times Roman" w:hAnsi="Times Roman"/>
        </w:rPr>
      </w:pPr>
      <w:r w:rsidRPr="003000B9">
        <w:rPr>
          <w:rFonts w:ascii="Times Roman" w:hAnsi="Times Roman"/>
          <w:b/>
          <w:bCs/>
        </w:rPr>
        <w:t>February10</w:t>
      </w:r>
      <w:r w:rsidR="003000B9" w:rsidRPr="003000B9">
        <w:rPr>
          <w:rFonts w:ascii="Times Roman" w:hAnsi="Times Roman"/>
          <w:b/>
          <w:bCs/>
        </w:rPr>
        <w:t>-</w:t>
      </w:r>
      <w:r w:rsidRPr="003000B9">
        <w:rPr>
          <w:rFonts w:ascii="Times Roman" w:hAnsi="Times Roman"/>
          <w:b/>
          <w:bCs/>
        </w:rPr>
        <w:t>July 3:</w:t>
      </w:r>
      <w:r w:rsidR="003000B9">
        <w:rPr>
          <w:rFonts w:ascii="Times Roman" w:hAnsi="Times Roman"/>
        </w:rPr>
        <w:t xml:space="preserve"> </w:t>
      </w:r>
      <w:r>
        <w:rPr>
          <w:rFonts w:ascii="Times Roman" w:hAnsi="Times Roman"/>
        </w:rPr>
        <w:t xml:space="preserve">Dupont </w:t>
      </w:r>
      <w:r w:rsidR="003000B9">
        <w:rPr>
          <w:rFonts w:ascii="Times Roman" w:hAnsi="Times Roman"/>
        </w:rPr>
        <w:t>makes</w:t>
      </w:r>
      <w:r>
        <w:rPr>
          <w:rFonts w:ascii="Times Roman" w:hAnsi="Times Roman"/>
        </w:rPr>
        <w:t xml:space="preserve"> no attempt to reschedule the examination. In fact, there is no contact between Dupont and Kalair at all.   </w:t>
      </w:r>
    </w:p>
    <w:p w14:paraId="4A0E4AB6" w14:textId="7102181A" w:rsidR="00BB4BEB" w:rsidRPr="00F575BB" w:rsidRDefault="00BB4BEB" w:rsidP="00BB4BEB">
      <w:pPr>
        <w:pStyle w:val="ListParagraph"/>
        <w:shd w:val="clear" w:color="auto" w:fill="FFFFFF"/>
        <w:spacing w:after="120" w:line="360" w:lineRule="auto"/>
        <w:ind w:left="1440"/>
        <w:contextualSpacing w:val="0"/>
        <w:jc w:val="both"/>
        <w:rPr>
          <w:rFonts w:ascii="Times Roman" w:hAnsi="Times Roman"/>
        </w:rPr>
      </w:pPr>
      <w:r w:rsidRPr="003000B9">
        <w:rPr>
          <w:rFonts w:ascii="Times Roman" w:hAnsi="Times Roman"/>
          <w:b/>
          <w:bCs/>
        </w:rPr>
        <w:t>July 2012-September 2012:</w:t>
      </w:r>
      <w:r>
        <w:rPr>
          <w:rFonts w:ascii="Times Roman" w:hAnsi="Times Roman"/>
        </w:rPr>
        <w:t xml:space="preserve"> After hearing nothing for almost six months, Kalair reaches out to Dupont by email, explaining that he can return home </w:t>
      </w:r>
      <w:r w:rsidR="003000B9">
        <w:rPr>
          <w:rFonts w:ascii="Times Roman" w:hAnsi="Times Roman"/>
        </w:rPr>
        <w:t>“</w:t>
      </w:r>
      <w:r w:rsidRPr="003000B9">
        <w:rPr>
          <w:rFonts w:ascii="Times Roman" w:hAnsi="Times Roman"/>
          <w:bCs/>
        </w:rPr>
        <w:t>if</w:t>
      </w:r>
      <w:r w:rsidR="003000B9">
        <w:rPr>
          <w:rFonts w:ascii="Times Roman" w:hAnsi="Times Roman"/>
          <w:bCs/>
        </w:rPr>
        <w:t>”</w:t>
      </w:r>
      <w:r>
        <w:rPr>
          <w:rFonts w:ascii="Times Roman" w:hAnsi="Times Roman"/>
        </w:rPr>
        <w:t xml:space="preserve"> he was still required to attend, which suggests both that </w:t>
      </w:r>
      <w:r w:rsidR="004C10BF">
        <w:rPr>
          <w:rFonts w:ascii="Times Roman" w:hAnsi="Times Roman"/>
        </w:rPr>
        <w:t>Kalair</w:t>
      </w:r>
      <w:r>
        <w:rPr>
          <w:rFonts w:ascii="Times Roman" w:hAnsi="Times Roman"/>
        </w:rPr>
        <w:t xml:space="preserve"> was out of country and that he was not sure whether or not the examination was </w:t>
      </w:r>
      <w:r>
        <w:rPr>
          <w:rFonts w:ascii="Times Roman" w:hAnsi="Times Roman"/>
        </w:rPr>
        <w:lastRenderedPageBreak/>
        <w:t xml:space="preserve">still necessary. Dupont suggests that Kalair pick a date. </w:t>
      </w:r>
      <w:r w:rsidRPr="00F575BB">
        <w:rPr>
          <w:rFonts w:ascii="Times Roman" w:hAnsi="Times Roman"/>
        </w:rPr>
        <w:t>Kalair asks for list of questions. Dupont sends a summary.</w:t>
      </w:r>
      <w:r>
        <w:rPr>
          <w:rStyle w:val="FootnoteReference"/>
          <w:rFonts w:ascii="Times Roman" w:hAnsi="Times Roman"/>
        </w:rPr>
        <w:footnoteReference w:id="94"/>
      </w:r>
      <w:r w:rsidRPr="00F575BB">
        <w:rPr>
          <w:rFonts w:ascii="Times Roman" w:hAnsi="Times Roman"/>
        </w:rPr>
        <w:t xml:space="preserve"> </w:t>
      </w:r>
    </w:p>
    <w:p w14:paraId="532DBD36" w14:textId="3F779888" w:rsidR="00BB4BEB" w:rsidRPr="003000B9" w:rsidRDefault="00BB4BEB" w:rsidP="003000B9">
      <w:pPr>
        <w:pStyle w:val="ListParagraph"/>
        <w:shd w:val="clear" w:color="auto" w:fill="FFFFFF"/>
        <w:spacing w:after="120" w:line="360" w:lineRule="auto"/>
        <w:ind w:left="1440"/>
        <w:contextualSpacing w:val="0"/>
        <w:jc w:val="both"/>
        <w:rPr>
          <w:rFonts w:ascii="Times Roman" w:hAnsi="Times Roman"/>
        </w:rPr>
      </w:pPr>
      <w:r w:rsidRPr="003000B9">
        <w:rPr>
          <w:rFonts w:ascii="Times Roman" w:hAnsi="Times Roman"/>
          <w:b/>
          <w:bCs/>
        </w:rPr>
        <w:t>November 2012:</w:t>
      </w:r>
      <w:r>
        <w:rPr>
          <w:rFonts w:ascii="Times Roman" w:hAnsi="Times Roman"/>
        </w:rPr>
        <w:t xml:space="preserve"> Tentative examination scheduled in Ottawa. Kalair asks that it be rescheduled to mid December. Dupont </w:t>
      </w:r>
      <w:r w:rsidR="003000B9">
        <w:rPr>
          <w:rFonts w:ascii="Times Roman" w:hAnsi="Times Roman"/>
        </w:rPr>
        <w:t>raises no objection</w:t>
      </w:r>
      <w:r>
        <w:rPr>
          <w:rFonts w:ascii="Times Roman" w:hAnsi="Times Roman"/>
        </w:rPr>
        <w:t>.</w:t>
      </w:r>
    </w:p>
    <w:p w14:paraId="1CC0AF24" w14:textId="66448351" w:rsidR="00BB4BEB" w:rsidRDefault="00BB4BEB" w:rsidP="00BB4BEB">
      <w:pPr>
        <w:pStyle w:val="ListParagraph"/>
        <w:shd w:val="clear" w:color="auto" w:fill="FFFFFF"/>
        <w:spacing w:after="120" w:line="360" w:lineRule="auto"/>
        <w:ind w:left="1440"/>
        <w:contextualSpacing w:val="0"/>
        <w:jc w:val="both"/>
        <w:rPr>
          <w:rFonts w:ascii="Times Roman" w:hAnsi="Times Roman"/>
        </w:rPr>
      </w:pPr>
      <w:r w:rsidRPr="003000B9">
        <w:rPr>
          <w:rFonts w:ascii="Times Roman" w:hAnsi="Times Roman"/>
          <w:b/>
          <w:bCs/>
        </w:rPr>
        <w:t>December 2012:</w:t>
      </w:r>
      <w:r>
        <w:rPr>
          <w:rFonts w:ascii="Times Roman" w:hAnsi="Times Roman"/>
        </w:rPr>
        <w:t xml:space="preserve"> Kalair has some urgent issues to </w:t>
      </w:r>
      <w:r w:rsidR="003000B9">
        <w:rPr>
          <w:rFonts w:ascii="Times Roman" w:hAnsi="Times Roman"/>
        </w:rPr>
        <w:t>address;</w:t>
      </w:r>
      <w:r>
        <w:rPr>
          <w:rFonts w:ascii="Times Roman" w:hAnsi="Times Roman"/>
        </w:rPr>
        <w:t xml:space="preserve"> asks to reschedule until January 2013. There is nothing in Dupont’s response to indicate that the rescheduling was problematic. Examination set for Jan 11, 2013 and </w:t>
      </w:r>
      <w:r w:rsidR="003000B9">
        <w:rPr>
          <w:rFonts w:ascii="Times Roman" w:hAnsi="Times Roman"/>
        </w:rPr>
        <w:t xml:space="preserve">but </w:t>
      </w:r>
      <w:r>
        <w:rPr>
          <w:rFonts w:ascii="Times Roman" w:hAnsi="Times Roman"/>
        </w:rPr>
        <w:t>switched to Jan 25, 2013.</w:t>
      </w:r>
    </w:p>
    <w:p w14:paraId="054B5D90" w14:textId="55CC0683" w:rsidR="00BB4BEB" w:rsidRDefault="00BB4BEB" w:rsidP="00BB4BEB">
      <w:pPr>
        <w:pStyle w:val="ListParagraph"/>
        <w:shd w:val="clear" w:color="auto" w:fill="FFFFFF"/>
        <w:spacing w:after="120" w:line="360" w:lineRule="auto"/>
        <w:ind w:left="1440"/>
        <w:contextualSpacing w:val="0"/>
        <w:jc w:val="both"/>
        <w:rPr>
          <w:rFonts w:ascii="Times Roman" w:hAnsi="Times Roman"/>
        </w:rPr>
      </w:pPr>
      <w:r w:rsidRPr="003000B9">
        <w:rPr>
          <w:rFonts w:ascii="Times Roman" w:hAnsi="Times Roman"/>
          <w:b/>
          <w:bCs/>
        </w:rPr>
        <w:t>January 2013:</w:t>
      </w:r>
      <w:r>
        <w:rPr>
          <w:rFonts w:ascii="Times Roman" w:hAnsi="Times Roman"/>
        </w:rPr>
        <w:t xml:space="preserve"> Kalair proposes another date but says he is flexible. Dupont says he is fine with Feb 14, 2013.</w:t>
      </w:r>
    </w:p>
    <w:p w14:paraId="3E3FAD10" w14:textId="77777777" w:rsidR="00BB4BEB" w:rsidRDefault="00BB4BEB" w:rsidP="00BB4BEB">
      <w:pPr>
        <w:pStyle w:val="ListParagraph"/>
        <w:shd w:val="clear" w:color="auto" w:fill="FFFFFF"/>
        <w:spacing w:after="120" w:line="360" w:lineRule="auto"/>
        <w:ind w:left="1440"/>
        <w:contextualSpacing w:val="0"/>
        <w:jc w:val="both"/>
        <w:rPr>
          <w:rFonts w:ascii="Times Roman" w:hAnsi="Times Roman"/>
        </w:rPr>
      </w:pPr>
      <w:r w:rsidRPr="003000B9">
        <w:rPr>
          <w:rFonts w:ascii="Times Roman" w:hAnsi="Times Roman"/>
          <w:b/>
          <w:bCs/>
        </w:rPr>
        <w:t>Feb 14, 2013:</w:t>
      </w:r>
      <w:r>
        <w:rPr>
          <w:rFonts w:ascii="Times Roman" w:hAnsi="Times Roman"/>
        </w:rPr>
        <w:t xml:space="preserve"> Examination takes place. </w:t>
      </w:r>
    </w:p>
    <w:p w14:paraId="2BDF0180" w14:textId="4054AC6D" w:rsidR="00BB4BEB" w:rsidRPr="0018629C"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It was Mr. Dupont’s evidence that the examination is </w:t>
      </w:r>
      <w:r w:rsidR="003000B9">
        <w:rPr>
          <w:rFonts w:ascii="Times Roman" w:hAnsi="Times Roman"/>
        </w:rPr>
        <w:t xml:space="preserve">a </w:t>
      </w:r>
      <w:r>
        <w:rPr>
          <w:rFonts w:ascii="Times Roman" w:hAnsi="Times Roman"/>
        </w:rPr>
        <w:t xml:space="preserve">routine procedure and that it was certainly nothing urgent. He testified that the original February 8, 2011 date was flexible. Nothing about the email communications between Mr. Kalair and Mr. Dupont suggest that requesting an adjournment of the meeting was problematic. The tone of the emails was very cordial. Mr. Dupont did not state that he would not accept the delay and he did not provide Mr. Kalair with a deadline. By analogy, this would be like changing a dentist appointment with no indication that the dentist would report you to the RCMP for failure </w:t>
      </w:r>
      <w:r w:rsidRPr="0018629C">
        <w:rPr>
          <w:rFonts w:ascii="Times Roman" w:hAnsi="Times Roman"/>
        </w:rPr>
        <w:t xml:space="preserve">to comply. </w:t>
      </w:r>
    </w:p>
    <w:p w14:paraId="2549584E" w14:textId="77777777" w:rsidR="00BB4BEB" w:rsidRDefault="00BB4BEB" w:rsidP="00BB4BEB">
      <w:pPr>
        <w:shd w:val="clear" w:color="auto" w:fill="FFFFFF"/>
        <w:spacing w:after="120" w:line="360" w:lineRule="auto"/>
        <w:jc w:val="both"/>
        <w:rPr>
          <w:rFonts w:ascii="Times Roman" w:hAnsi="Times Roman"/>
          <w:b/>
        </w:rPr>
      </w:pPr>
    </w:p>
    <w:p w14:paraId="09CD62C9" w14:textId="77777777" w:rsidR="00BB4BEB" w:rsidRPr="0018629C" w:rsidRDefault="00BB4BEB" w:rsidP="00BB4BEB">
      <w:pPr>
        <w:shd w:val="clear" w:color="auto" w:fill="FFFFFF"/>
        <w:spacing w:after="120" w:line="360" w:lineRule="auto"/>
        <w:jc w:val="both"/>
        <w:rPr>
          <w:rFonts w:ascii="Times" w:hAnsi="Times" w:cs="Times"/>
          <w:b/>
          <w:lang w:val="en-US"/>
        </w:rPr>
      </w:pPr>
      <w:r>
        <w:rPr>
          <w:rFonts w:ascii="Times Roman" w:hAnsi="Times Roman"/>
          <w:b/>
        </w:rPr>
        <w:t xml:space="preserve">b) </w:t>
      </w:r>
      <w:r w:rsidRPr="0018629C">
        <w:rPr>
          <w:rFonts w:ascii="Times Roman" w:hAnsi="Times Roman"/>
          <w:b/>
        </w:rPr>
        <w:t xml:space="preserve">Failure </w:t>
      </w:r>
      <w:r w:rsidRPr="0018629C">
        <w:rPr>
          <w:rFonts w:ascii="Times" w:hAnsi="Times" w:cs="Times"/>
          <w:b/>
          <w:lang w:val="en-US"/>
        </w:rPr>
        <w:t xml:space="preserve">to produce and deliver all of the </w:t>
      </w:r>
      <w:r>
        <w:rPr>
          <w:rFonts w:ascii="Times" w:hAnsi="Times" w:cs="Times"/>
          <w:b/>
          <w:lang w:val="en-US"/>
        </w:rPr>
        <w:t xml:space="preserve">books, records, documents and </w:t>
      </w:r>
      <w:r w:rsidRPr="0018629C">
        <w:rPr>
          <w:rFonts w:ascii="Times" w:hAnsi="Times" w:cs="Times"/>
          <w:b/>
          <w:lang w:val="en-US"/>
        </w:rPr>
        <w:t>property of the bankrupt to the Trustee</w:t>
      </w:r>
    </w:p>
    <w:p w14:paraId="27536035" w14:textId="3ABB74EC" w:rsidR="00BB4BEB" w:rsidRPr="00A872FE"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Mr. Thompson acknowledged that when G</w:t>
      </w:r>
      <w:r w:rsidR="003000B9">
        <w:rPr>
          <w:rFonts w:ascii="Times Roman" w:hAnsi="Times Roman"/>
        </w:rPr>
        <w:t>TL</w:t>
      </w:r>
      <w:r>
        <w:rPr>
          <w:rFonts w:ascii="Times Roman" w:hAnsi="Times Roman"/>
        </w:rPr>
        <w:t xml:space="preserve"> attended at the UM offices for the first time on October 7, 2011, they could have taken as many as twenty </w:t>
      </w:r>
      <w:r w:rsidR="003000B9">
        <w:rPr>
          <w:rFonts w:ascii="Times Roman" w:hAnsi="Times Roman"/>
        </w:rPr>
        <w:t>banker’s</w:t>
      </w:r>
      <w:r>
        <w:rPr>
          <w:rFonts w:ascii="Times Roman" w:hAnsi="Times Roman"/>
        </w:rPr>
        <w:t xml:space="preserve"> boxes of documents.</w:t>
      </w:r>
      <w:r>
        <w:rPr>
          <w:rStyle w:val="FootnoteReference"/>
          <w:rFonts w:ascii="Times Roman" w:hAnsi="Times Roman"/>
        </w:rPr>
        <w:footnoteReference w:id="95"/>
      </w:r>
      <w:r>
        <w:rPr>
          <w:rFonts w:ascii="Times Roman" w:hAnsi="Times Roman"/>
        </w:rPr>
        <w:t xml:space="preserve"> In addition, a number of laptops were mirrored and digital documentation was obtained. Mr. Kalair instructed his IT staff to make the passwords available for any </w:t>
      </w:r>
      <w:r>
        <w:rPr>
          <w:rFonts w:ascii="Times Roman" w:hAnsi="Times Roman"/>
        </w:rPr>
        <w:lastRenderedPageBreak/>
        <w:t>of the electronics that were password-protected.</w:t>
      </w:r>
      <w:r>
        <w:rPr>
          <w:rStyle w:val="FootnoteReference"/>
          <w:rFonts w:ascii="Times Roman" w:hAnsi="Times Roman"/>
        </w:rPr>
        <w:footnoteReference w:id="96"/>
      </w:r>
      <w:r>
        <w:rPr>
          <w:rFonts w:ascii="Times Roman" w:hAnsi="Times Roman"/>
        </w:rPr>
        <w:t xml:space="preserve"> He even made his in-house legal counsel available.</w:t>
      </w:r>
      <w:r>
        <w:rPr>
          <w:rStyle w:val="FootnoteReference"/>
          <w:rFonts w:ascii="Times Roman" w:hAnsi="Times Roman"/>
        </w:rPr>
        <w:footnoteReference w:id="97"/>
      </w:r>
      <w:r>
        <w:rPr>
          <w:rFonts w:ascii="Times Roman" w:hAnsi="Times Roman"/>
        </w:rPr>
        <w:t xml:space="preserve"> </w:t>
      </w:r>
    </w:p>
    <w:p w14:paraId="449EAB05" w14:textId="67B1A1BE"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In the days after that first visit, Mr. Kalair was responsive by email and telephone while the G</w:t>
      </w:r>
      <w:r w:rsidR="003000B9">
        <w:rPr>
          <w:rFonts w:ascii="Times Roman" w:hAnsi="Times Roman"/>
        </w:rPr>
        <w:t>TL</w:t>
      </w:r>
      <w:r>
        <w:rPr>
          <w:rFonts w:ascii="Times Roman" w:hAnsi="Times Roman"/>
        </w:rPr>
        <w:t xml:space="preserve"> team made numerous requests for further documents and property.</w:t>
      </w:r>
      <w:r>
        <w:rPr>
          <w:rStyle w:val="FootnoteReference"/>
          <w:rFonts w:ascii="Times Roman" w:hAnsi="Times Roman"/>
        </w:rPr>
        <w:footnoteReference w:id="98"/>
      </w:r>
      <w:r>
        <w:rPr>
          <w:rFonts w:ascii="Times Roman" w:hAnsi="Times Roman"/>
        </w:rPr>
        <w:t xml:space="preserve"> He made further boxes of documents available.</w:t>
      </w:r>
      <w:r>
        <w:rPr>
          <w:rStyle w:val="FootnoteReference"/>
          <w:rFonts w:ascii="Times Roman" w:hAnsi="Times Roman"/>
        </w:rPr>
        <w:footnoteReference w:id="99"/>
      </w:r>
      <w:r>
        <w:rPr>
          <w:rFonts w:ascii="Times Roman" w:hAnsi="Times Roman"/>
        </w:rPr>
        <w:t xml:space="preserve"> As we can see from the correspondence, if Mr. Kalair was unable to attend at a meeting or respond to a request, he communicated same to G</w:t>
      </w:r>
      <w:r w:rsidR="003000B9">
        <w:rPr>
          <w:rFonts w:ascii="Times Roman" w:hAnsi="Times Roman"/>
        </w:rPr>
        <w:t>TL</w:t>
      </w:r>
      <w:r>
        <w:rPr>
          <w:rFonts w:ascii="Times Roman" w:hAnsi="Times Roman"/>
        </w:rPr>
        <w:t xml:space="preserve"> and would try make himself available by telephone.</w:t>
      </w:r>
      <w:r>
        <w:rPr>
          <w:rStyle w:val="FootnoteReference"/>
          <w:rFonts w:ascii="Times Roman" w:hAnsi="Times Roman"/>
        </w:rPr>
        <w:footnoteReference w:id="100"/>
      </w:r>
      <w:r>
        <w:rPr>
          <w:rFonts w:ascii="Times Roman" w:hAnsi="Times Roman"/>
        </w:rPr>
        <w:t xml:space="preserve"> Although not accepted, he even offered his services to G</w:t>
      </w:r>
      <w:r w:rsidR="003000B9">
        <w:rPr>
          <w:rFonts w:ascii="Times Roman" w:hAnsi="Times Roman"/>
        </w:rPr>
        <w:t>TL</w:t>
      </w:r>
      <w:r>
        <w:rPr>
          <w:rFonts w:ascii="Times Roman" w:hAnsi="Times Roman"/>
        </w:rPr>
        <w:t xml:space="preserve"> on an engagement basis</w:t>
      </w:r>
      <w:r w:rsidR="003000B9">
        <w:rPr>
          <w:rFonts w:ascii="Times Roman" w:hAnsi="Times Roman"/>
        </w:rPr>
        <w:t xml:space="preserve"> to assist in managing the sharia compliancy obligation </w:t>
      </w:r>
      <w:r w:rsidR="00E179B7">
        <w:rPr>
          <w:rFonts w:ascii="Times Roman" w:hAnsi="Times Roman"/>
        </w:rPr>
        <w:t>of the mortgage portfolio – an expertise with which, by Thompson’s own admission, GTL had no familiarity.</w:t>
      </w:r>
    </w:p>
    <w:p w14:paraId="1613A986" w14:textId="0B6FBF33" w:rsidR="00BB4BEB" w:rsidRDefault="00E179B7"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On</w:t>
      </w:r>
      <w:r w:rsidR="00BB4BEB">
        <w:rPr>
          <w:rFonts w:ascii="Times Roman" w:hAnsi="Times Roman"/>
        </w:rPr>
        <w:t xml:space="preserve"> October </w:t>
      </w:r>
      <w:r w:rsidR="004C7B25">
        <w:rPr>
          <w:rFonts w:ascii="Times Roman" w:hAnsi="Times Roman"/>
        </w:rPr>
        <w:t xml:space="preserve">18, 2011, </w:t>
      </w:r>
      <w:r w:rsidR="00BB4BEB">
        <w:rPr>
          <w:rFonts w:ascii="Times Roman" w:hAnsi="Times Roman"/>
        </w:rPr>
        <w:t>Mr. Kalair’s efforts were communicated very clearly to counsel for G</w:t>
      </w:r>
      <w:r>
        <w:rPr>
          <w:rFonts w:ascii="Times Roman" w:hAnsi="Times Roman"/>
        </w:rPr>
        <w:t>TL</w:t>
      </w:r>
      <w:r w:rsidR="00BB4BEB">
        <w:rPr>
          <w:rFonts w:ascii="Times Roman" w:hAnsi="Times Roman"/>
        </w:rPr>
        <w:t xml:space="preserve"> by Kalair’s counsel, </w:t>
      </w:r>
      <w:r>
        <w:rPr>
          <w:rFonts w:ascii="Times Roman" w:hAnsi="Times Roman"/>
        </w:rPr>
        <w:t>David</w:t>
      </w:r>
      <w:r w:rsidR="00BB4BEB">
        <w:rPr>
          <w:rFonts w:ascii="Times Roman" w:hAnsi="Times Roman"/>
        </w:rPr>
        <w:t xml:space="preserve"> Ullman:</w:t>
      </w:r>
      <w:r w:rsidR="00BB4BEB">
        <w:rPr>
          <w:rStyle w:val="FootnoteReference"/>
          <w:rFonts w:ascii="Times Roman" w:hAnsi="Times Roman"/>
        </w:rPr>
        <w:footnoteReference w:id="101"/>
      </w:r>
    </w:p>
    <w:p w14:paraId="0B5B30D5" w14:textId="77777777" w:rsidR="00BB4BEB" w:rsidRPr="00EC6D88" w:rsidRDefault="00BB4BEB" w:rsidP="00BB4BEB">
      <w:pPr>
        <w:ind w:left="720"/>
        <w:jc w:val="both"/>
        <w:rPr>
          <w:rFonts w:ascii="Tahoma" w:hAnsi="Tahoma"/>
          <w:sz w:val="20"/>
          <w:szCs w:val="20"/>
          <w:lang w:val="en-GB"/>
        </w:rPr>
      </w:pPr>
      <w:r w:rsidRPr="00EC6D88">
        <w:rPr>
          <w:lang w:val="en-US"/>
        </w:rPr>
        <w:t>Mr. Kalair has met his obligations, if any such obligation exists, to assist the Receiver. He has advised me that he has provided all the books and records in his possession to the Receiver. He has advised me that he has provided the Receiver with access to the former business premises of UMF and UMC and provided the Receiver with all the records of the Companies located at that location. He has provided copious emails and computer files. He has liaised between the Receiver and former staff of the Companies. He has taken several meetings and telephone calls with the Receiver. He has no further obligation to submit himself to repeated meetings or questioning from the Receiver nor does the Appointment Order grant the Receiver such authority. It is the Receiver’s responsibility to review the materials in its possession and reach its own conclusions, not to continuously seek the gratuitous assistance of Mr. Kalair. Even in a bankruptcy, which this is not, this conduct would not be appropriate or allowed on such a free ranging basis.</w:t>
      </w:r>
    </w:p>
    <w:p w14:paraId="446D02DE" w14:textId="77777777" w:rsidR="00BB4BEB" w:rsidRPr="00EC6D88" w:rsidRDefault="00BB4BEB" w:rsidP="00BB4BEB">
      <w:pPr>
        <w:shd w:val="clear" w:color="auto" w:fill="FFFFFF"/>
        <w:spacing w:after="120" w:line="360" w:lineRule="auto"/>
        <w:jc w:val="both"/>
        <w:rPr>
          <w:rFonts w:ascii="Times Roman" w:hAnsi="Times Roman"/>
        </w:rPr>
      </w:pPr>
    </w:p>
    <w:p w14:paraId="2513CDED" w14:textId="30CC137A"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Both Thompson and Dupont acknowledged that bankrupt companies are not at their best and that it is common to see that the bankrupt company has poor financial </w:t>
      </w:r>
      <w:r>
        <w:rPr>
          <w:rFonts w:ascii="Times Roman" w:hAnsi="Times Roman"/>
        </w:rPr>
        <w:lastRenderedPageBreak/>
        <w:t>controls and poor record keeping.</w:t>
      </w:r>
      <w:r>
        <w:rPr>
          <w:rStyle w:val="FootnoteReference"/>
          <w:rFonts w:ascii="Times Roman" w:hAnsi="Times Roman"/>
        </w:rPr>
        <w:footnoteReference w:id="102"/>
      </w:r>
      <w:r>
        <w:rPr>
          <w:rFonts w:ascii="Times Roman" w:hAnsi="Times Roman"/>
        </w:rPr>
        <w:t xml:space="preserve">  The consideration of whether Mr. Kalair failed in his duty to provide the books, records, document and property of UM must includ</w:t>
      </w:r>
      <w:r w:rsidR="00E179B7">
        <w:rPr>
          <w:rFonts w:ascii="Times Roman" w:hAnsi="Times Roman"/>
        </w:rPr>
        <w:t>e</w:t>
      </w:r>
      <w:r>
        <w:rPr>
          <w:rFonts w:ascii="Times Roman" w:hAnsi="Times Roman"/>
        </w:rPr>
        <w:t xml:space="preserve"> a consideration of the realities of the man-power shortages at the time of those requests. </w:t>
      </w:r>
      <w:r w:rsidR="00E179B7">
        <w:rPr>
          <w:rFonts w:ascii="Times Roman" w:hAnsi="Times Roman"/>
        </w:rPr>
        <w:t>At the</w:t>
      </w:r>
      <w:r>
        <w:rPr>
          <w:rFonts w:ascii="Times Roman" w:hAnsi="Times Roman"/>
        </w:rPr>
        <w:t xml:space="preserve"> time of the receivership, there </w:t>
      </w:r>
      <w:r w:rsidR="00E179B7">
        <w:rPr>
          <w:rFonts w:ascii="Times Roman" w:hAnsi="Times Roman"/>
        </w:rPr>
        <w:t xml:space="preserve">had been a string </w:t>
      </w:r>
      <w:r>
        <w:rPr>
          <w:rFonts w:ascii="Times Roman" w:hAnsi="Times Roman"/>
        </w:rPr>
        <w:t xml:space="preserve">of </w:t>
      </w:r>
      <w:r w:rsidR="00E179B7">
        <w:rPr>
          <w:rFonts w:ascii="Times Roman" w:hAnsi="Times Roman"/>
        </w:rPr>
        <w:t xml:space="preserve">departures by key </w:t>
      </w:r>
      <w:r>
        <w:rPr>
          <w:rFonts w:ascii="Times Roman" w:hAnsi="Times Roman"/>
        </w:rPr>
        <w:t>UM employees</w:t>
      </w:r>
      <w:r w:rsidR="00E179B7">
        <w:rPr>
          <w:rFonts w:ascii="Times Roman" w:hAnsi="Times Roman"/>
        </w:rPr>
        <w:t xml:space="preserve"> ultimately leaving </w:t>
      </w:r>
      <w:r w:rsidR="004C7B25" w:rsidRPr="00455E9A">
        <w:rPr>
          <w:rFonts w:ascii="Times Roman" w:hAnsi="Times Roman"/>
        </w:rPr>
        <w:t>Mr. Anwar Pathan</w:t>
      </w:r>
      <w:r w:rsidR="004C7B25">
        <w:rPr>
          <w:rFonts w:ascii="Times Roman" w:hAnsi="Times Roman"/>
        </w:rPr>
        <w:t xml:space="preserve">, </w:t>
      </w:r>
      <w:r>
        <w:rPr>
          <w:rFonts w:ascii="Times Roman" w:hAnsi="Times Roman"/>
        </w:rPr>
        <w:t>the intern</w:t>
      </w:r>
      <w:r w:rsidR="00E179B7">
        <w:rPr>
          <w:rFonts w:ascii="Times Roman" w:hAnsi="Times Roman"/>
        </w:rPr>
        <w:t>,</w:t>
      </w:r>
      <w:r>
        <w:rPr>
          <w:rFonts w:ascii="Times Roman" w:hAnsi="Times Roman"/>
        </w:rPr>
        <w:t xml:space="preserve"> </w:t>
      </w:r>
      <w:r w:rsidR="00E179B7">
        <w:rPr>
          <w:rFonts w:ascii="Times Roman" w:hAnsi="Times Roman"/>
        </w:rPr>
        <w:t>as Kalair’s most senior remaining e</w:t>
      </w:r>
      <w:r w:rsidR="004C7B25">
        <w:rPr>
          <w:rFonts w:ascii="Times Roman" w:hAnsi="Times Roman"/>
        </w:rPr>
        <w:t>mployee.</w:t>
      </w:r>
      <w:r w:rsidR="004C7B25">
        <w:rPr>
          <w:rStyle w:val="FootnoteReference"/>
          <w:rFonts w:ascii="Times Roman" w:hAnsi="Times Roman"/>
        </w:rPr>
        <w:footnoteReference w:id="103"/>
      </w:r>
      <w:r w:rsidR="004C7B25">
        <w:rPr>
          <w:rFonts w:ascii="Times Roman" w:hAnsi="Times Roman"/>
        </w:rPr>
        <w:t xml:space="preserve"> </w:t>
      </w:r>
      <w:r>
        <w:rPr>
          <w:rFonts w:ascii="Times Roman" w:hAnsi="Times Roman"/>
        </w:rPr>
        <w:t xml:space="preserve">The company lacked funds and could not afford to pay to outsource responsibilities such as an accounting. </w:t>
      </w:r>
    </w:p>
    <w:p w14:paraId="03CFB752" w14:textId="55FE4AFE" w:rsidR="00BB4BEB" w:rsidRDefault="00E179B7"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The standard expected of a designated person under the BIA is not one of perfection. Kalair is to be held to the standard of a reasonable person in similar circumstances. Kalair was not the CEO of a Fortune 500 company, in charge of hundreds of employees with an army of professionals to assist him in executing his BIA duties. Kalair was a lone man, trying desperately to respond to the imminent sinking of his corporate ship, trying all the while to find a life raft. </w:t>
      </w:r>
      <w:r w:rsidR="00BB4BEB">
        <w:rPr>
          <w:rFonts w:ascii="Times Roman" w:hAnsi="Times Roman"/>
        </w:rPr>
        <w:t xml:space="preserve">In all of the circumstances, it </w:t>
      </w:r>
      <w:r>
        <w:rPr>
          <w:rFonts w:ascii="Times Roman" w:hAnsi="Times Roman"/>
        </w:rPr>
        <w:t>is</w:t>
      </w:r>
      <w:r w:rsidR="00BB4BEB">
        <w:rPr>
          <w:rFonts w:ascii="Times Roman" w:hAnsi="Times Roman"/>
        </w:rPr>
        <w:t xml:space="preserve"> not reasonable for </w:t>
      </w:r>
      <w:r>
        <w:rPr>
          <w:rFonts w:ascii="Times Roman" w:hAnsi="Times Roman"/>
        </w:rPr>
        <w:t>a</w:t>
      </w:r>
      <w:r w:rsidR="00BB4BEB">
        <w:rPr>
          <w:rFonts w:ascii="Times Roman" w:hAnsi="Times Roman"/>
        </w:rPr>
        <w:t xml:space="preserve"> receiver to </w:t>
      </w:r>
      <w:r>
        <w:rPr>
          <w:rFonts w:ascii="Times Roman" w:hAnsi="Times Roman"/>
        </w:rPr>
        <w:t>expect receipt of 100% of tens of thousands of documents</w:t>
      </w:r>
      <w:r w:rsidR="00BB4BEB">
        <w:rPr>
          <w:rFonts w:ascii="Times Roman" w:hAnsi="Times Roman"/>
        </w:rPr>
        <w:t xml:space="preserve"> </w:t>
      </w:r>
      <w:r>
        <w:rPr>
          <w:rFonts w:ascii="Times Roman" w:hAnsi="Times Roman"/>
        </w:rPr>
        <w:t xml:space="preserve">accompanied by perfectly recorded explanations. </w:t>
      </w:r>
      <w:r w:rsidR="00BB4BEB">
        <w:rPr>
          <w:rFonts w:ascii="Times Roman" w:hAnsi="Times Roman"/>
        </w:rPr>
        <w:t xml:space="preserve"> </w:t>
      </w:r>
      <w:r>
        <w:rPr>
          <w:rFonts w:ascii="Times Roman" w:hAnsi="Times Roman"/>
        </w:rPr>
        <w:t xml:space="preserve">It is even less reasonable to expect perfection would be delivered in an immediate </w:t>
      </w:r>
      <w:r w:rsidR="00BB4BEB">
        <w:rPr>
          <w:rFonts w:ascii="Times Roman" w:hAnsi="Times Roman"/>
        </w:rPr>
        <w:t xml:space="preserve">time frame. </w:t>
      </w:r>
      <w:r w:rsidR="00BB4BEB" w:rsidRPr="00051826">
        <w:rPr>
          <w:rFonts w:ascii="Times Roman" w:hAnsi="Times Roman"/>
        </w:rPr>
        <w:t xml:space="preserve">Mr. Kalair </w:t>
      </w:r>
      <w:r w:rsidR="00BB4BEB">
        <w:rPr>
          <w:rFonts w:ascii="Times Roman" w:hAnsi="Times Roman"/>
        </w:rPr>
        <w:t>was doing all that he could to reasonably comply and he must be judged not against the standard of G</w:t>
      </w:r>
      <w:r>
        <w:rPr>
          <w:rFonts w:ascii="Times Roman" w:hAnsi="Times Roman"/>
        </w:rPr>
        <w:t>TL</w:t>
      </w:r>
      <w:r w:rsidR="00BB4BEB">
        <w:rPr>
          <w:rFonts w:ascii="Times Roman" w:hAnsi="Times Roman"/>
        </w:rPr>
        <w:t xml:space="preserve">, a professional receiver, but against the standard of a reasonable person in the circumstances that he found himself in. </w:t>
      </w:r>
    </w:p>
    <w:p w14:paraId="52B87D6F" w14:textId="77777777" w:rsidR="00BB4BEB" w:rsidRPr="00051826" w:rsidRDefault="00BB4BEB" w:rsidP="00BB4BEB">
      <w:pPr>
        <w:pStyle w:val="ListParagraph"/>
        <w:shd w:val="clear" w:color="auto" w:fill="FFFFFF"/>
        <w:spacing w:after="120" w:line="360" w:lineRule="auto"/>
        <w:ind w:left="0"/>
        <w:contextualSpacing w:val="0"/>
        <w:jc w:val="both"/>
        <w:rPr>
          <w:rFonts w:ascii="Times Roman" w:hAnsi="Times Roman"/>
        </w:rPr>
      </w:pPr>
    </w:p>
    <w:p w14:paraId="0AB0F174" w14:textId="77777777" w:rsidR="00BB4BEB" w:rsidRPr="00DC767E" w:rsidRDefault="00BB4BEB" w:rsidP="00BB4BEB">
      <w:pPr>
        <w:pStyle w:val="ListParagraph"/>
        <w:shd w:val="clear" w:color="auto" w:fill="FFFFFF"/>
        <w:spacing w:after="120" w:line="360" w:lineRule="auto"/>
        <w:ind w:left="0"/>
        <w:contextualSpacing w:val="0"/>
        <w:jc w:val="both"/>
        <w:rPr>
          <w:rFonts w:ascii="Times Roman" w:hAnsi="Times Roman"/>
          <w:b/>
          <w:lang w:val="en-GB"/>
        </w:rPr>
      </w:pPr>
      <w:r w:rsidRPr="00DC767E">
        <w:rPr>
          <w:rFonts w:ascii="Times Roman" w:hAnsi="Times Roman"/>
          <w:b/>
        </w:rPr>
        <w:t>c) Failing to disclose to the Trustee all property disposed of within a year of the initial bankruptcy</w:t>
      </w:r>
    </w:p>
    <w:p w14:paraId="412BB8B8" w14:textId="3C562DC0"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The defence is perplexed by this allegation. If the allegation relates to disclosing the 2.1 million dollars converted to gold to pay for the scholar’s invoice, it is abundantly clear, from G</w:t>
      </w:r>
      <w:r w:rsidR="00E37658">
        <w:rPr>
          <w:rFonts w:ascii="Times Roman" w:hAnsi="Times Roman"/>
        </w:rPr>
        <w:t>TL</w:t>
      </w:r>
      <w:r>
        <w:rPr>
          <w:rFonts w:ascii="Times Roman" w:hAnsi="Times Roman"/>
        </w:rPr>
        <w:t>’s memo, that Mr. Kalair attempted to disclose this on their very fist visit to UM:</w:t>
      </w:r>
      <w:r>
        <w:rPr>
          <w:rStyle w:val="FootnoteReference"/>
          <w:rFonts w:ascii="Times Roman" w:hAnsi="Times Roman"/>
        </w:rPr>
        <w:footnoteReference w:id="104"/>
      </w:r>
    </w:p>
    <w:p w14:paraId="455A52EB" w14:textId="77777777" w:rsidR="00BB4BEB" w:rsidRDefault="00BB4BEB" w:rsidP="00BB4BEB">
      <w:pPr>
        <w:pStyle w:val="ListParagraph"/>
        <w:shd w:val="clear" w:color="auto" w:fill="FFFFFF"/>
        <w:spacing w:after="120" w:line="360" w:lineRule="auto"/>
        <w:contextualSpacing w:val="0"/>
        <w:jc w:val="both"/>
        <w:rPr>
          <w:rFonts w:ascii="Times Roman" w:hAnsi="Times Roman"/>
        </w:rPr>
      </w:pPr>
      <w:r>
        <w:rPr>
          <w:rFonts w:ascii="Times Roman" w:hAnsi="Times Roman"/>
        </w:rPr>
        <w:lastRenderedPageBreak/>
        <w:t xml:space="preserve">“According to Kalair, upon the sale of 12 portfolio properties (the “unpaid mortgages”) </w:t>
      </w:r>
      <w:r w:rsidRPr="0030618F">
        <w:rPr>
          <w:rFonts w:ascii="Times Roman" w:hAnsi="Times Roman"/>
          <w:u w:val="single"/>
        </w:rPr>
        <w:t>UMF/UMC received $2,124,025 to discharge 1</w:t>
      </w:r>
      <w:r w:rsidRPr="0030618F">
        <w:rPr>
          <w:rFonts w:ascii="Times Roman" w:hAnsi="Times Roman"/>
          <w:u w:val="single"/>
          <w:vertAlign w:val="superscript"/>
        </w:rPr>
        <w:t>st</w:t>
      </w:r>
      <w:r w:rsidRPr="0030618F">
        <w:rPr>
          <w:rFonts w:ascii="Times Roman" w:hAnsi="Times Roman"/>
          <w:u w:val="single"/>
        </w:rPr>
        <w:t xml:space="preserve"> mortgages in favour of Central 1. Instead of paying these funds to Central 1, UMF turned these funds over to the SEB</w:t>
      </w:r>
      <w:r>
        <w:rPr>
          <w:rFonts w:ascii="Times Roman" w:hAnsi="Times Roman"/>
        </w:rPr>
        <w:t xml:space="preserve"> to establish the fund required by the SEB.”</w:t>
      </w:r>
    </w:p>
    <w:p w14:paraId="352BE6AD" w14:textId="7637213C"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Although the explanation for the paym</w:t>
      </w:r>
      <w:r w:rsidR="004C7B25">
        <w:rPr>
          <w:rFonts w:ascii="Times Roman" w:hAnsi="Times Roman"/>
        </w:rPr>
        <w:t xml:space="preserve">ent was misconstrued (see para 87 </w:t>
      </w:r>
      <w:r>
        <w:rPr>
          <w:rFonts w:ascii="Times Roman" w:hAnsi="Times Roman"/>
        </w:rPr>
        <w:t xml:space="preserve">above), the dollar amount and the intended party are consistent. </w:t>
      </w:r>
    </w:p>
    <w:p w14:paraId="703D4480" w14:textId="77777777" w:rsidR="00BB4BEB" w:rsidRDefault="00BB4BEB" w:rsidP="00BB4BEB">
      <w:pPr>
        <w:pStyle w:val="ListParagraph"/>
        <w:shd w:val="clear" w:color="auto" w:fill="FFFFFF"/>
        <w:spacing w:after="120" w:line="360" w:lineRule="auto"/>
        <w:ind w:left="0"/>
        <w:contextualSpacing w:val="0"/>
        <w:jc w:val="both"/>
        <w:rPr>
          <w:rFonts w:ascii="Times Roman" w:hAnsi="Times Roman"/>
        </w:rPr>
      </w:pPr>
    </w:p>
    <w:p w14:paraId="7979D18A" w14:textId="77777777" w:rsidR="00BB4BEB" w:rsidRPr="00185D4E" w:rsidRDefault="00BB4BEB" w:rsidP="00BB4BEB">
      <w:pPr>
        <w:shd w:val="clear" w:color="auto" w:fill="FFFFFF"/>
        <w:spacing w:after="120" w:line="360" w:lineRule="auto"/>
        <w:jc w:val="both"/>
        <w:rPr>
          <w:rFonts w:ascii="Times Roman" w:hAnsi="Times Roman"/>
          <w:b/>
        </w:rPr>
      </w:pPr>
      <w:r>
        <w:rPr>
          <w:rFonts w:ascii="Times Roman" w:hAnsi="Times Roman"/>
          <w:b/>
        </w:rPr>
        <w:t>d) F</w:t>
      </w:r>
      <w:r w:rsidRPr="00185D4E">
        <w:rPr>
          <w:rFonts w:ascii="Times Roman" w:hAnsi="Times Roman"/>
          <w:b/>
        </w:rPr>
        <w:t>ailure to attend at the First Meeting of Creditors.</w:t>
      </w:r>
    </w:p>
    <w:p w14:paraId="5168A2D4" w14:textId="61B70080" w:rsidR="00BB4BEB" w:rsidRPr="00F1069C"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At paragraph 202, the Crown submits “t</w:t>
      </w:r>
      <w:r w:rsidRPr="00F1069C">
        <w:rPr>
          <w:rFonts w:ascii="Times" w:hAnsi="Times"/>
        </w:rPr>
        <w:t>he First Meeting of Creditors took place on December 13, 2011. Mr. Kalair was advised of the timing of this meeting, but nonetheless did not attend</w:t>
      </w:r>
      <w:r>
        <w:rPr>
          <w:rFonts w:ascii="Times" w:hAnsi="Times"/>
        </w:rPr>
        <w:t>”. This is a gross mischaracterization</w:t>
      </w:r>
      <w:r w:rsidR="00E37658">
        <w:rPr>
          <w:rFonts w:ascii="Times" w:hAnsi="Times"/>
        </w:rPr>
        <w:t>.</w:t>
      </w:r>
    </w:p>
    <w:p w14:paraId="363B770F" w14:textId="1B2C1FB5"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On December 12, 2011, Mr. Pitch, counsel for Mr. Kalair, writes to counsel for G</w:t>
      </w:r>
      <w:r w:rsidR="00E37658">
        <w:rPr>
          <w:rFonts w:ascii="Times Roman" w:hAnsi="Times Roman"/>
        </w:rPr>
        <w:t>TL</w:t>
      </w:r>
      <w:r>
        <w:rPr>
          <w:rFonts w:ascii="Times Roman" w:hAnsi="Times Roman"/>
        </w:rPr>
        <w:t xml:space="preserve"> to advise that “due to a prior commitment to be out of the country at a conference, and other business meetings taking place out of the county, our client cannot attend tomorrow December 13, 2011 at the meeting of the inspectors. His schedule was set some time ago”.</w:t>
      </w:r>
      <w:r>
        <w:rPr>
          <w:rStyle w:val="FootnoteReference"/>
          <w:rFonts w:ascii="Times Roman" w:hAnsi="Times Roman"/>
        </w:rPr>
        <w:footnoteReference w:id="105"/>
      </w:r>
      <w:r w:rsidRPr="00BB053A">
        <w:rPr>
          <w:rFonts w:ascii="Times Roman" w:hAnsi="Times Roman"/>
        </w:rPr>
        <w:t>Mr. Pitch goes a step further and offers up an alternative representative from UM, Mr. Anwar Pathan, whom G</w:t>
      </w:r>
      <w:r w:rsidR="00E37658">
        <w:rPr>
          <w:rFonts w:ascii="Times Roman" w:hAnsi="Times Roman"/>
        </w:rPr>
        <w:t>TL</w:t>
      </w:r>
      <w:r w:rsidRPr="00BB053A">
        <w:rPr>
          <w:rFonts w:ascii="Times Roman" w:hAnsi="Times Roman"/>
        </w:rPr>
        <w:t xml:space="preserve"> had interviewed two mon</w:t>
      </w:r>
      <w:r>
        <w:rPr>
          <w:rFonts w:ascii="Times Roman" w:hAnsi="Times Roman"/>
        </w:rPr>
        <w:t xml:space="preserve">ths prior. </w:t>
      </w:r>
    </w:p>
    <w:p w14:paraId="22533E56" w14:textId="1D872C9D"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Notwithstanding the above, the meeting goes ahead as scheduled. </w:t>
      </w:r>
      <w:r w:rsidR="008177DC">
        <w:rPr>
          <w:rFonts w:ascii="Times Roman" w:hAnsi="Times Roman"/>
        </w:rPr>
        <w:t>GTL</w:t>
      </w:r>
      <w:r>
        <w:rPr>
          <w:rFonts w:ascii="Times Roman" w:hAnsi="Times Roman"/>
        </w:rPr>
        <w:t xml:space="preserve"> spares no expense and books th</w:t>
      </w:r>
      <w:r w:rsidR="00E37658">
        <w:rPr>
          <w:rFonts w:ascii="Times Roman" w:hAnsi="Times Roman"/>
        </w:rPr>
        <w:t>e</w:t>
      </w:r>
      <w:r>
        <w:rPr>
          <w:rFonts w:ascii="Times Roman" w:hAnsi="Times Roman"/>
        </w:rPr>
        <w:t xml:space="preserve"> Royal Ballroom at the Fairmont Royal York.  The meeting lasts five minutes.</w:t>
      </w:r>
      <w:r w:rsidR="008177DC">
        <w:rPr>
          <w:rFonts w:ascii="Times Roman" w:hAnsi="Times Roman"/>
        </w:rPr>
        <w:t xml:space="preserve"> C1 us the sole attendee. No members of the public, no homeowner, and no other alleged creditors are present.</w:t>
      </w:r>
      <w:r>
        <w:rPr>
          <w:rStyle w:val="FootnoteReference"/>
          <w:rFonts w:ascii="Times Roman" w:hAnsi="Times Roman"/>
        </w:rPr>
        <w:footnoteReference w:id="106"/>
      </w:r>
      <w:r>
        <w:rPr>
          <w:rFonts w:ascii="Times Roman" w:hAnsi="Times Roman"/>
        </w:rPr>
        <w:t xml:space="preserve"> </w:t>
      </w:r>
    </w:p>
    <w:p w14:paraId="6E8B3272" w14:textId="6D21556D" w:rsidR="00BB4BEB"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If G</w:t>
      </w:r>
      <w:r w:rsidR="00E37658">
        <w:rPr>
          <w:rFonts w:ascii="Times Roman" w:hAnsi="Times Roman"/>
        </w:rPr>
        <w:t>TL</w:t>
      </w:r>
      <w:r>
        <w:rPr>
          <w:rFonts w:ascii="Times Roman" w:hAnsi="Times Roman"/>
        </w:rPr>
        <w:t xml:space="preserve"> w</w:t>
      </w:r>
      <w:r w:rsidR="00E37658">
        <w:rPr>
          <w:rFonts w:ascii="Times Roman" w:hAnsi="Times Roman"/>
        </w:rPr>
        <w:t>as</w:t>
      </w:r>
      <w:r>
        <w:rPr>
          <w:rFonts w:ascii="Times Roman" w:hAnsi="Times Roman"/>
        </w:rPr>
        <w:t xml:space="preserve"> truly concerned with </w:t>
      </w:r>
      <w:r w:rsidR="00E37658">
        <w:rPr>
          <w:rFonts w:ascii="Times Roman" w:hAnsi="Times Roman"/>
        </w:rPr>
        <w:t xml:space="preserve">having the opportunity to hear from the insolvent company, </w:t>
      </w:r>
      <w:r>
        <w:rPr>
          <w:rFonts w:ascii="Times Roman" w:hAnsi="Times Roman"/>
        </w:rPr>
        <w:t xml:space="preserve">they would have </w:t>
      </w:r>
      <w:r w:rsidR="00E37658">
        <w:rPr>
          <w:rFonts w:ascii="Times Roman" w:hAnsi="Times Roman"/>
        </w:rPr>
        <w:t xml:space="preserve">rescheduled to a date when Kalair was available (just as the OSB later did) </w:t>
      </w:r>
      <w:r>
        <w:rPr>
          <w:rFonts w:ascii="Times Roman" w:hAnsi="Times Roman"/>
        </w:rPr>
        <w:t>or would have accepted the alternative representative</w:t>
      </w:r>
      <w:r w:rsidR="00E37658">
        <w:rPr>
          <w:rFonts w:ascii="Times Roman" w:hAnsi="Times Roman"/>
        </w:rPr>
        <w:t xml:space="preserve"> that had been offered</w:t>
      </w:r>
      <w:r>
        <w:rPr>
          <w:rFonts w:ascii="Times Roman" w:hAnsi="Times Roman"/>
        </w:rPr>
        <w:t xml:space="preserve">. They did neither. </w:t>
      </w:r>
    </w:p>
    <w:p w14:paraId="6D1B2B02" w14:textId="77777777" w:rsidR="00BB4BEB" w:rsidRPr="00DC767E" w:rsidRDefault="00BB4BEB" w:rsidP="00BB4BEB">
      <w:pPr>
        <w:shd w:val="clear" w:color="auto" w:fill="FFFFFF"/>
        <w:spacing w:after="120" w:line="360" w:lineRule="auto"/>
        <w:jc w:val="both"/>
        <w:rPr>
          <w:rFonts w:ascii="Times Roman" w:hAnsi="Times Roman"/>
        </w:rPr>
      </w:pPr>
    </w:p>
    <w:p w14:paraId="464DE5A3" w14:textId="77777777" w:rsidR="00BB4BEB" w:rsidRDefault="00BB4BEB" w:rsidP="00BB4BEB">
      <w:pPr>
        <w:pStyle w:val="Heading4"/>
        <w:ind w:firstLine="720"/>
        <w:rPr>
          <w:color w:val="auto"/>
          <w:lang w:val="en-GB"/>
        </w:rPr>
      </w:pPr>
      <w:bookmarkStart w:id="30" w:name="_Toc411085416"/>
      <w:bookmarkStart w:id="31" w:name="_Toc411860405"/>
      <w:r>
        <w:rPr>
          <w:color w:val="auto"/>
          <w:lang w:val="en-GB"/>
        </w:rPr>
        <w:lastRenderedPageBreak/>
        <w:t xml:space="preserve">Charge 2: </w:t>
      </w:r>
      <w:r w:rsidRPr="00BD6F34">
        <w:rPr>
          <w:color w:val="auto"/>
          <w:lang w:val="en-GB"/>
        </w:rPr>
        <w:t xml:space="preserve">Failure to </w:t>
      </w:r>
      <w:r>
        <w:rPr>
          <w:color w:val="auto"/>
          <w:lang w:val="en-GB"/>
        </w:rPr>
        <w:t>Answer Fully and Truthfully</w:t>
      </w:r>
      <w:bookmarkEnd w:id="30"/>
      <w:bookmarkEnd w:id="31"/>
      <w:r>
        <w:rPr>
          <w:color w:val="auto"/>
          <w:lang w:val="en-GB"/>
        </w:rPr>
        <w:t xml:space="preserve"> </w:t>
      </w:r>
    </w:p>
    <w:p w14:paraId="356F6612" w14:textId="77777777" w:rsidR="00BB4BEB" w:rsidRPr="005D1932" w:rsidRDefault="00BB4BEB" w:rsidP="00BB4BEB">
      <w:pPr>
        <w:rPr>
          <w:lang w:val="en-GB"/>
        </w:rPr>
      </w:pPr>
    </w:p>
    <w:p w14:paraId="0DABA1CD" w14:textId="77777777" w:rsidR="00BB4BEB" w:rsidRPr="0090225C"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The Crown alleges that Mr. Kalair did not answer fully and truthfully the questions posed to him by Mr. Dupont </w:t>
      </w:r>
      <w:r w:rsidRPr="0090225C">
        <w:rPr>
          <w:rFonts w:ascii="Times" w:hAnsi="Times" w:cs="Times"/>
        </w:rPr>
        <w:t>about the purchase and disposition</w:t>
      </w:r>
      <w:r>
        <w:rPr>
          <w:rFonts w:ascii="Times" w:hAnsi="Times" w:cs="Times"/>
        </w:rPr>
        <w:t xml:space="preserve"> of the precious metals and also</w:t>
      </w:r>
      <w:r w:rsidRPr="0090225C">
        <w:rPr>
          <w:rFonts w:ascii="Times" w:hAnsi="Times" w:cs="Times"/>
        </w:rPr>
        <w:t xml:space="preserve"> failed to acknowledge his misappropriation of homeowner’s payments.</w:t>
      </w:r>
    </w:p>
    <w:p w14:paraId="0C6AE01C" w14:textId="5662C4E3" w:rsidR="00BB4BEB" w:rsidRPr="00E37658" w:rsidRDefault="00BB4BEB"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 </w:t>
      </w:r>
      <w:r w:rsidR="00E37658">
        <w:rPr>
          <w:rFonts w:ascii="Times Roman" w:hAnsi="Times Roman"/>
        </w:rPr>
        <w:t>Providing full and truthful answers to the standard questions posed by the OSB is not predicated on the OSB liking the answers they receive. The duty of the bankrupt is to respond to questions to the best of his knowledge at the given time. That is what Mr. Kalair did. Kalair has remained consistent in his understanding of the C1/UM relationship and his duties under that relationship in light of the mudarabah nature of the contracts. Kalair provided essentially the same explanations to GTL in Nov. 2011 as he did to Dupont and the OSB in Feb. 2013</w:t>
      </w:r>
      <w:r w:rsidR="004C10BF">
        <w:rPr>
          <w:rFonts w:ascii="Times Roman" w:hAnsi="Times Roman"/>
        </w:rPr>
        <w:t>, and</w:t>
      </w:r>
      <w:r w:rsidR="00E37658">
        <w:rPr>
          <w:rFonts w:ascii="Times Roman" w:hAnsi="Times Roman"/>
        </w:rPr>
        <w:t xml:space="preserve"> as he did at this trial in 2018. </w:t>
      </w:r>
    </w:p>
    <w:p w14:paraId="7B245335" w14:textId="44281653" w:rsidR="00BB4BEB" w:rsidRDefault="00BB0D34" w:rsidP="00C87CF5">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While i</w:t>
      </w:r>
      <w:r w:rsidR="00BB4BEB">
        <w:rPr>
          <w:rFonts w:ascii="Times Roman" w:hAnsi="Times Roman"/>
        </w:rPr>
        <w:t xml:space="preserve">t is true that the answers provided by Mr. Kalair may not have aligned with Dupont’s expectations, that should come as no surprise considering </w:t>
      </w:r>
      <w:r>
        <w:rPr>
          <w:rFonts w:ascii="Times Roman" w:hAnsi="Times Roman"/>
        </w:rPr>
        <w:t xml:space="preserve">that it was GTL </w:t>
      </w:r>
      <w:r w:rsidR="00BB4BEB">
        <w:rPr>
          <w:rFonts w:ascii="Times Roman" w:hAnsi="Times Roman"/>
        </w:rPr>
        <w:t>who prepared the background document, known as the “Statement of Affairs”</w:t>
      </w:r>
      <w:r>
        <w:rPr>
          <w:rFonts w:ascii="Times Roman" w:hAnsi="Times Roman"/>
        </w:rPr>
        <w:t>, which formed the core of Dupont’s knowledge of the case prior to questioning Kalair</w:t>
      </w:r>
      <w:r w:rsidR="00BB4BEB">
        <w:rPr>
          <w:rFonts w:ascii="Times Roman" w:hAnsi="Times Roman"/>
        </w:rPr>
        <w:t xml:space="preserve">.  There was nothing objective </w:t>
      </w:r>
      <w:r>
        <w:rPr>
          <w:rFonts w:ascii="Times Roman" w:hAnsi="Times Roman"/>
        </w:rPr>
        <w:t xml:space="preserve">or neutral </w:t>
      </w:r>
      <w:r w:rsidR="00BB4BEB">
        <w:rPr>
          <w:rFonts w:ascii="Times Roman" w:hAnsi="Times Roman"/>
        </w:rPr>
        <w:t xml:space="preserve">about this examination. Dupont </w:t>
      </w:r>
      <w:r>
        <w:rPr>
          <w:rFonts w:ascii="Times Roman" w:hAnsi="Times Roman"/>
        </w:rPr>
        <w:t>had been</w:t>
      </w:r>
      <w:r w:rsidR="00BB4BEB">
        <w:rPr>
          <w:rFonts w:ascii="Times Roman" w:hAnsi="Times Roman"/>
        </w:rPr>
        <w:t xml:space="preserve"> forwarding materials to the RCMP </w:t>
      </w:r>
      <w:r>
        <w:rPr>
          <w:rFonts w:ascii="Times Roman" w:hAnsi="Times Roman"/>
        </w:rPr>
        <w:t xml:space="preserve">since </w:t>
      </w:r>
      <w:r w:rsidR="00BB4BEB">
        <w:rPr>
          <w:rFonts w:ascii="Times Roman" w:hAnsi="Times Roman"/>
        </w:rPr>
        <w:t>September of 2012, five months before the examination had even taken place.</w:t>
      </w:r>
      <w:r w:rsidR="00BB4BEB">
        <w:rPr>
          <w:rStyle w:val="FootnoteReference"/>
          <w:rFonts w:ascii="Times Roman" w:hAnsi="Times Roman"/>
        </w:rPr>
        <w:footnoteReference w:id="107"/>
      </w:r>
      <w:r w:rsidR="00BB4BEB">
        <w:rPr>
          <w:rFonts w:ascii="Times Roman" w:hAnsi="Times Roman"/>
        </w:rPr>
        <w:t xml:space="preserve"> </w:t>
      </w:r>
      <w:r>
        <w:rPr>
          <w:rFonts w:ascii="Times Roman" w:hAnsi="Times Roman"/>
        </w:rPr>
        <w:t>Kalair was not privy to communications between GTL (working first and foremost for C1 as has been demonstrated previously) and the OSB</w:t>
      </w:r>
      <w:r w:rsidR="009C6DCA">
        <w:rPr>
          <w:rFonts w:ascii="Times Roman" w:hAnsi="Times Roman"/>
        </w:rPr>
        <w:t>,</w:t>
      </w:r>
      <w:r>
        <w:rPr>
          <w:rFonts w:ascii="Times Roman" w:hAnsi="Times Roman"/>
        </w:rPr>
        <w:t xml:space="preserve"> no</w:t>
      </w:r>
      <w:r w:rsidR="009C6DCA">
        <w:rPr>
          <w:rFonts w:ascii="Times Roman" w:hAnsi="Times Roman"/>
        </w:rPr>
        <w:t>r</w:t>
      </w:r>
      <w:r>
        <w:rPr>
          <w:rFonts w:ascii="Times Roman" w:hAnsi="Times Roman"/>
        </w:rPr>
        <w:t xml:space="preserve"> was he advised that a criminal investigation was underway.</w:t>
      </w:r>
    </w:p>
    <w:p w14:paraId="1939FC91" w14:textId="77777777" w:rsidR="00455E9A" w:rsidRDefault="00455E9A" w:rsidP="00455E9A">
      <w:pPr>
        <w:pStyle w:val="Heading2"/>
        <w:rPr>
          <w:i w:val="0"/>
        </w:rPr>
      </w:pPr>
      <w:bookmarkStart w:id="32" w:name="_Toc411191404"/>
    </w:p>
    <w:p w14:paraId="1FEF8FBC" w14:textId="77777777" w:rsidR="00455E9A" w:rsidRPr="00456758" w:rsidRDefault="00455E9A" w:rsidP="00455E9A">
      <w:pPr>
        <w:pStyle w:val="Heading2"/>
        <w:rPr>
          <w:i w:val="0"/>
        </w:rPr>
      </w:pPr>
      <w:bookmarkStart w:id="33" w:name="_Toc411860406"/>
      <w:r w:rsidRPr="00456758">
        <w:rPr>
          <w:i w:val="0"/>
        </w:rPr>
        <w:t>DEFENCE EVIDENCE</w:t>
      </w:r>
      <w:bookmarkEnd w:id="32"/>
      <w:bookmarkEnd w:id="33"/>
      <w:r w:rsidRPr="00456758">
        <w:rPr>
          <w:i w:val="0"/>
        </w:rPr>
        <w:t xml:space="preserve"> </w:t>
      </w:r>
    </w:p>
    <w:p w14:paraId="7A9B08F2" w14:textId="704F1728" w:rsidR="00455E9A" w:rsidRPr="00455E9A" w:rsidRDefault="00455E9A" w:rsidP="00455E9A">
      <w:pPr>
        <w:pStyle w:val="Heading3"/>
        <w:numPr>
          <w:ilvl w:val="0"/>
          <w:numId w:val="10"/>
        </w:numPr>
        <w:rPr>
          <w:rFonts w:cs="Times"/>
          <w:color w:val="auto"/>
        </w:rPr>
      </w:pPr>
      <w:bookmarkStart w:id="34" w:name="_Toc411191405"/>
      <w:bookmarkStart w:id="35" w:name="_Toc411860407"/>
      <w:r>
        <w:rPr>
          <w:rFonts w:cs="Times"/>
          <w:color w:val="auto"/>
        </w:rPr>
        <w:t>Evidence of Abdulkader Thomas</w:t>
      </w:r>
      <w:bookmarkEnd w:id="34"/>
      <w:bookmarkEnd w:id="35"/>
      <w:r>
        <w:rPr>
          <w:rFonts w:cs="Times"/>
          <w:color w:val="auto"/>
        </w:rPr>
        <w:t xml:space="preserve"> </w:t>
      </w:r>
    </w:p>
    <w:p w14:paraId="46F180BC" w14:textId="49DFE72A"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 xml:space="preserve">Mr. Thomas is an adjunct professor at DePaul University in Chicago and the IE Business School in Madrid where he teaches courses on Islamic Finance, he has conducted Sharia audits, provided Sharia advice, been a member of </w:t>
      </w:r>
      <w:r w:rsidR="009C6DCA">
        <w:rPr>
          <w:rFonts w:ascii="Times Roman" w:hAnsi="Times Roman"/>
        </w:rPr>
        <w:t>s</w:t>
      </w:r>
      <w:r w:rsidRPr="00D35667">
        <w:rPr>
          <w:rFonts w:ascii="Times Roman" w:hAnsi="Times Roman"/>
        </w:rPr>
        <w:t xml:space="preserve">haria ethics boards </w:t>
      </w:r>
      <w:r w:rsidR="009C6DCA">
        <w:rPr>
          <w:rFonts w:ascii="Times Roman" w:hAnsi="Times Roman"/>
        </w:rPr>
        <w:t>and</w:t>
      </w:r>
      <w:r>
        <w:rPr>
          <w:rFonts w:ascii="Times Roman" w:hAnsi="Times Roman"/>
        </w:rPr>
        <w:t xml:space="preserve"> </w:t>
      </w:r>
      <w:r w:rsidR="009C6DCA">
        <w:rPr>
          <w:rFonts w:ascii="Times Roman" w:hAnsi="Times Roman"/>
        </w:rPr>
        <w:t>s</w:t>
      </w:r>
      <w:r w:rsidRPr="00D35667">
        <w:rPr>
          <w:rFonts w:ascii="Times Roman" w:hAnsi="Times Roman"/>
        </w:rPr>
        <w:t>haria supervisory board</w:t>
      </w:r>
      <w:r w:rsidR="009C6DCA">
        <w:rPr>
          <w:rFonts w:ascii="Times Roman" w:hAnsi="Times Roman"/>
        </w:rPr>
        <w:t>s</w:t>
      </w:r>
      <w:r w:rsidRPr="00D35667">
        <w:rPr>
          <w:rFonts w:ascii="Times Roman" w:hAnsi="Times Roman"/>
        </w:rPr>
        <w:t xml:space="preserve">, is a co-editor of an Islamic Finance Qualification and has developed a declining balance partnership model for home finance very similar to the </w:t>
      </w:r>
      <w:r w:rsidRPr="00D35667">
        <w:rPr>
          <w:rFonts w:ascii="Times Roman" w:hAnsi="Times Roman"/>
        </w:rPr>
        <w:lastRenderedPageBreak/>
        <w:t>Musharakah agreements utilized by UM.</w:t>
      </w:r>
      <w:r w:rsidRPr="00D35667">
        <w:rPr>
          <w:rStyle w:val="FootnoteReference"/>
          <w:rFonts w:ascii="Times Roman" w:hAnsi="Times Roman"/>
        </w:rPr>
        <w:footnoteReference w:id="108"/>
      </w:r>
      <w:r w:rsidRPr="00D35667">
        <w:rPr>
          <w:rFonts w:ascii="Times Roman" w:hAnsi="Times Roman"/>
        </w:rPr>
        <w:t xml:space="preserve"> He is more than qualified to provide the Court with an expert opinion on Islamic Finance and the application of Sharia law to financial contracts.</w:t>
      </w:r>
    </w:p>
    <w:p w14:paraId="39E4817E" w14:textId="77777777"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The relevant evidence of Mr. Thomas can be summarized as follows:</w:t>
      </w:r>
    </w:p>
    <w:p w14:paraId="0E488669" w14:textId="77777777" w:rsidR="00455E9A" w:rsidRPr="00D35667" w:rsidRDefault="00455E9A" w:rsidP="00455E9A">
      <w:pPr>
        <w:pStyle w:val="ListParagraph"/>
        <w:shd w:val="clear" w:color="auto" w:fill="FFFFFF"/>
        <w:spacing w:after="120" w:line="360" w:lineRule="auto"/>
        <w:ind w:left="0"/>
        <w:contextualSpacing w:val="0"/>
        <w:jc w:val="both"/>
        <w:rPr>
          <w:rFonts w:ascii="Times Roman" w:hAnsi="Times Roman"/>
        </w:rPr>
      </w:pPr>
    </w:p>
    <w:p w14:paraId="0F591023" w14:textId="77777777" w:rsidR="00455E9A" w:rsidRPr="00D35667" w:rsidRDefault="00455E9A" w:rsidP="00455E9A">
      <w:pPr>
        <w:pStyle w:val="Heading4"/>
        <w:ind w:left="720"/>
        <w:rPr>
          <w:color w:val="auto"/>
        </w:rPr>
      </w:pPr>
      <w:bookmarkStart w:id="36" w:name="_Toc411191406"/>
      <w:bookmarkStart w:id="37" w:name="_Toc411860408"/>
      <w:r w:rsidRPr="00D35667">
        <w:rPr>
          <w:color w:val="auto"/>
        </w:rPr>
        <w:t>Islamic Finance</w:t>
      </w:r>
      <w:bookmarkEnd w:id="36"/>
      <w:bookmarkEnd w:id="37"/>
      <w:r w:rsidRPr="00D35667">
        <w:rPr>
          <w:color w:val="auto"/>
        </w:rPr>
        <w:t xml:space="preserve"> </w:t>
      </w:r>
    </w:p>
    <w:p w14:paraId="66CCC5B6" w14:textId="77777777" w:rsidR="00455E9A" w:rsidRPr="00D35667" w:rsidRDefault="00455E9A" w:rsidP="00455E9A">
      <w:pPr>
        <w:rPr>
          <w:rFonts w:ascii="Times Roman" w:hAnsi="Times Roman"/>
        </w:rPr>
      </w:pPr>
    </w:p>
    <w:p w14:paraId="58C9BD65" w14:textId="77777777"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The </w:t>
      </w:r>
      <w:r w:rsidRPr="00D35667">
        <w:rPr>
          <w:rFonts w:ascii="Times Roman" w:hAnsi="Times Roman"/>
        </w:rPr>
        <w:t>central tenant of Islamic Finance is that interest, otherwise known as “riba”,</w:t>
      </w:r>
      <w:r>
        <w:rPr>
          <w:rFonts w:ascii="Times Roman" w:hAnsi="Times Roman"/>
        </w:rPr>
        <w:t xml:space="preserve"> </w:t>
      </w:r>
      <w:r w:rsidRPr="00D35667">
        <w:rPr>
          <w:rFonts w:ascii="Times Roman" w:hAnsi="Times Roman"/>
        </w:rPr>
        <w:t>is forbidden</w:t>
      </w:r>
      <w:r>
        <w:rPr>
          <w:rStyle w:val="FootnoteReference"/>
          <w:rFonts w:ascii="Times Roman" w:hAnsi="Times Roman"/>
        </w:rPr>
        <w:footnoteReference w:id="109"/>
      </w:r>
      <w:r w:rsidRPr="00D35667">
        <w:rPr>
          <w:rFonts w:ascii="Times Roman" w:hAnsi="Times Roman"/>
        </w:rPr>
        <w:t>. Riba is narrowly defined</w:t>
      </w:r>
      <w:r>
        <w:rPr>
          <w:rFonts w:ascii="Times Roman" w:hAnsi="Times Roman"/>
        </w:rPr>
        <w:t xml:space="preserve"> as the return of money on money. It</w:t>
      </w:r>
      <w:r w:rsidRPr="00D35667">
        <w:rPr>
          <w:rFonts w:ascii="Times Roman" w:hAnsi="Times Roman"/>
        </w:rPr>
        <w:t xml:space="preserve"> can be avoided by </w:t>
      </w:r>
      <w:r>
        <w:rPr>
          <w:rFonts w:ascii="Times Roman" w:hAnsi="Times Roman"/>
        </w:rPr>
        <w:t xml:space="preserve">the creation of partnerships, </w:t>
      </w:r>
      <w:r w:rsidRPr="00D35667">
        <w:rPr>
          <w:rFonts w:ascii="Times Roman" w:hAnsi="Times Roman"/>
        </w:rPr>
        <w:t>an investment partnership and a leasing partnership</w:t>
      </w:r>
      <w:r>
        <w:rPr>
          <w:rStyle w:val="FootnoteReference"/>
          <w:rFonts w:ascii="Times Roman" w:hAnsi="Times Roman"/>
        </w:rPr>
        <w:footnoteReference w:id="110"/>
      </w:r>
      <w:r w:rsidRPr="00D35667">
        <w:rPr>
          <w:rFonts w:ascii="Times Roman" w:hAnsi="Times Roman"/>
        </w:rPr>
        <w:t xml:space="preserve">. </w:t>
      </w:r>
      <w:r>
        <w:rPr>
          <w:rFonts w:ascii="Times Roman" w:hAnsi="Times Roman"/>
        </w:rPr>
        <w:t>The t</w:t>
      </w:r>
      <w:r w:rsidRPr="00D35667">
        <w:rPr>
          <w:rFonts w:ascii="Times Roman" w:hAnsi="Times Roman"/>
        </w:rPr>
        <w:t xml:space="preserve">wo classic </w:t>
      </w:r>
      <w:r>
        <w:rPr>
          <w:rFonts w:ascii="Times Roman" w:hAnsi="Times Roman"/>
        </w:rPr>
        <w:t xml:space="preserve">instruments of </w:t>
      </w:r>
      <w:r w:rsidRPr="00D35667">
        <w:rPr>
          <w:rFonts w:ascii="Times Roman" w:hAnsi="Times Roman"/>
        </w:rPr>
        <w:t xml:space="preserve">Islamic finance </w:t>
      </w:r>
      <w:r>
        <w:rPr>
          <w:rFonts w:ascii="Times Roman" w:hAnsi="Times Roman"/>
        </w:rPr>
        <w:t xml:space="preserve">that are </w:t>
      </w:r>
      <w:r w:rsidRPr="00D35667">
        <w:rPr>
          <w:rFonts w:ascii="Times Roman" w:hAnsi="Times Roman"/>
        </w:rPr>
        <w:t xml:space="preserve">relevant to this case are </w:t>
      </w:r>
      <w:r>
        <w:rPr>
          <w:rFonts w:ascii="Times Roman" w:hAnsi="Times Roman"/>
        </w:rPr>
        <w:t xml:space="preserve">the </w:t>
      </w:r>
      <w:r w:rsidRPr="00D35667">
        <w:rPr>
          <w:rFonts w:ascii="Times Roman" w:hAnsi="Times Roman"/>
        </w:rPr>
        <w:t xml:space="preserve">Mudarabah and </w:t>
      </w:r>
      <w:r>
        <w:rPr>
          <w:rFonts w:ascii="Times Roman" w:hAnsi="Times Roman"/>
        </w:rPr>
        <w:t xml:space="preserve">the </w:t>
      </w:r>
      <w:r w:rsidRPr="00D35667">
        <w:rPr>
          <w:rFonts w:ascii="Times Roman" w:hAnsi="Times Roman"/>
        </w:rPr>
        <w:t>Musharakah.</w:t>
      </w:r>
    </w:p>
    <w:p w14:paraId="4E73A335" w14:textId="77777777" w:rsidR="00455E9A" w:rsidRPr="00D35667" w:rsidRDefault="00455E9A" w:rsidP="00455E9A">
      <w:pPr>
        <w:pStyle w:val="ListParagraph"/>
        <w:shd w:val="clear" w:color="auto" w:fill="FFFFFF"/>
        <w:spacing w:after="120" w:line="360" w:lineRule="auto"/>
        <w:ind w:left="0"/>
        <w:contextualSpacing w:val="0"/>
        <w:jc w:val="both"/>
        <w:rPr>
          <w:rFonts w:ascii="Times Roman" w:hAnsi="Times Roman"/>
          <w:b/>
        </w:rPr>
      </w:pPr>
    </w:p>
    <w:p w14:paraId="45490816" w14:textId="77777777" w:rsidR="00455E9A" w:rsidRPr="00D35667" w:rsidRDefault="00455E9A" w:rsidP="00455E9A">
      <w:pPr>
        <w:pStyle w:val="ListParagraph"/>
        <w:shd w:val="clear" w:color="auto" w:fill="FFFFFF"/>
        <w:spacing w:after="120" w:line="360" w:lineRule="auto"/>
        <w:ind w:left="0" w:firstLine="720"/>
        <w:contextualSpacing w:val="0"/>
        <w:jc w:val="both"/>
        <w:rPr>
          <w:rFonts w:ascii="Times Roman" w:hAnsi="Times Roman"/>
          <w:b/>
        </w:rPr>
      </w:pPr>
      <w:r w:rsidRPr="00D35667">
        <w:rPr>
          <w:rFonts w:ascii="Times Roman" w:hAnsi="Times Roman"/>
          <w:b/>
        </w:rPr>
        <w:t xml:space="preserve">a) Mudarabah </w:t>
      </w:r>
    </w:p>
    <w:p w14:paraId="1DC81A0C" w14:textId="77777777"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 xml:space="preserve">A Mudarabah, similar to a limited partnership, is the relationship </w:t>
      </w:r>
      <w:r>
        <w:rPr>
          <w:rFonts w:ascii="Times Roman" w:hAnsi="Times Roman"/>
        </w:rPr>
        <w:t xml:space="preserve">that exists </w:t>
      </w:r>
      <w:r w:rsidRPr="00D35667">
        <w:rPr>
          <w:rFonts w:ascii="Times Roman" w:hAnsi="Times Roman"/>
        </w:rPr>
        <w:t xml:space="preserve">between the Mudarib, </w:t>
      </w:r>
      <w:r>
        <w:rPr>
          <w:rFonts w:ascii="Times Roman" w:hAnsi="Times Roman"/>
        </w:rPr>
        <w:t xml:space="preserve">UM, </w:t>
      </w:r>
      <w:r w:rsidRPr="00D35667">
        <w:rPr>
          <w:rFonts w:ascii="Times Roman" w:hAnsi="Times Roman"/>
        </w:rPr>
        <w:t>and the “Rabb al mal” (owner/supplier of the funds)</w:t>
      </w:r>
      <w:r>
        <w:rPr>
          <w:rStyle w:val="FootnoteReference"/>
          <w:rFonts w:ascii="Times Roman" w:hAnsi="Times Roman"/>
        </w:rPr>
        <w:footnoteReference w:id="111"/>
      </w:r>
      <w:r>
        <w:rPr>
          <w:rFonts w:ascii="Times Roman" w:hAnsi="Times Roman"/>
        </w:rPr>
        <w:t>,</w:t>
      </w:r>
      <w:r w:rsidRPr="00D35667">
        <w:rPr>
          <w:rFonts w:ascii="Times Roman" w:hAnsi="Times Roman"/>
        </w:rPr>
        <w:t xml:space="preserve"> Central 1. </w:t>
      </w:r>
      <w:r>
        <w:rPr>
          <w:rFonts w:ascii="Times Roman" w:hAnsi="Times Roman"/>
        </w:rPr>
        <w:t xml:space="preserve">Practically speaking, Central 1 supplies </w:t>
      </w:r>
      <w:r w:rsidRPr="00D35667">
        <w:rPr>
          <w:rFonts w:ascii="Times Roman" w:hAnsi="Times Roman"/>
        </w:rPr>
        <w:t xml:space="preserve">capital </w:t>
      </w:r>
      <w:r>
        <w:rPr>
          <w:rFonts w:ascii="Times Roman" w:hAnsi="Times Roman"/>
        </w:rPr>
        <w:t>to UM and UM manages that</w:t>
      </w:r>
      <w:r w:rsidRPr="00D35667">
        <w:rPr>
          <w:rFonts w:ascii="Times Roman" w:hAnsi="Times Roman"/>
        </w:rPr>
        <w:t xml:space="preserve"> capital. </w:t>
      </w:r>
    </w:p>
    <w:p w14:paraId="209C00F9" w14:textId="77777777"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A Mudarabah</w:t>
      </w:r>
      <w:r w:rsidRPr="00D35667">
        <w:rPr>
          <w:rFonts w:ascii="Times Roman" w:hAnsi="Times Roman"/>
        </w:rPr>
        <w:t xml:space="preserve"> is a true partnership and as such, the Rabb al mal</w:t>
      </w:r>
      <w:r>
        <w:rPr>
          <w:rFonts w:ascii="Times Roman" w:hAnsi="Times Roman"/>
        </w:rPr>
        <w:t xml:space="preserve"> </w:t>
      </w:r>
      <w:r w:rsidRPr="00D35667">
        <w:rPr>
          <w:rFonts w:ascii="Times Roman" w:hAnsi="Times Roman"/>
        </w:rPr>
        <w:t>bears some form of financial risk or variable income risk</w:t>
      </w:r>
      <w:r>
        <w:rPr>
          <w:rStyle w:val="FootnoteReference"/>
          <w:rFonts w:ascii="Times Roman" w:hAnsi="Times Roman"/>
        </w:rPr>
        <w:footnoteReference w:id="112"/>
      </w:r>
      <w:r w:rsidRPr="00D35667">
        <w:rPr>
          <w:rFonts w:ascii="Times Roman" w:hAnsi="Times Roman"/>
        </w:rPr>
        <w:t xml:space="preserve">. </w:t>
      </w:r>
      <w:r>
        <w:rPr>
          <w:rFonts w:ascii="Times Roman" w:hAnsi="Times Roman"/>
        </w:rPr>
        <w:t>In the realm of Islamic Finance, t</w:t>
      </w:r>
      <w:r w:rsidRPr="00D35667">
        <w:rPr>
          <w:rFonts w:ascii="Times Roman" w:hAnsi="Times Roman"/>
        </w:rPr>
        <w:t xml:space="preserve">his is justified because </w:t>
      </w:r>
      <w:r>
        <w:rPr>
          <w:rFonts w:ascii="Times Roman" w:hAnsi="Times Roman"/>
        </w:rPr>
        <w:t>the Mudarib</w:t>
      </w:r>
      <w:r w:rsidRPr="00D35667">
        <w:rPr>
          <w:rFonts w:ascii="Times Roman" w:hAnsi="Times Roman"/>
        </w:rPr>
        <w:t xml:space="preserve"> </w:t>
      </w:r>
      <w:r>
        <w:rPr>
          <w:rFonts w:ascii="Times Roman" w:hAnsi="Times Roman"/>
        </w:rPr>
        <w:t>manages</w:t>
      </w:r>
      <w:r w:rsidRPr="00D35667">
        <w:rPr>
          <w:rFonts w:ascii="Times Roman" w:hAnsi="Times Roman"/>
        </w:rPr>
        <w:t xml:space="preserve"> the enterprise while </w:t>
      </w:r>
      <w:r>
        <w:rPr>
          <w:rFonts w:ascii="Times Roman" w:hAnsi="Times Roman"/>
        </w:rPr>
        <w:t>the Rabb al mal only invests and puts</w:t>
      </w:r>
      <w:r w:rsidRPr="00D35667">
        <w:rPr>
          <w:rFonts w:ascii="Times Roman" w:hAnsi="Times Roman"/>
        </w:rPr>
        <w:t xml:space="preserve"> </w:t>
      </w:r>
      <w:r>
        <w:rPr>
          <w:rFonts w:ascii="Times Roman" w:hAnsi="Times Roman"/>
        </w:rPr>
        <w:t xml:space="preserve">up cash.  </w:t>
      </w:r>
    </w:p>
    <w:p w14:paraId="1BDE164B" w14:textId="307C9010" w:rsid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According to Mr. Thomas, the relationship between UM and Central 1 was premised on a Mudarabah</w:t>
      </w:r>
      <w:r w:rsidR="009C6DCA">
        <w:rPr>
          <w:rFonts w:ascii="Times Roman" w:hAnsi="Times Roman"/>
        </w:rPr>
        <w:t>.</w:t>
      </w:r>
      <w:r w:rsidRPr="00D35667">
        <w:rPr>
          <w:rFonts w:ascii="Times Roman" w:hAnsi="Times Roman"/>
        </w:rPr>
        <w:t xml:space="preserve"> </w:t>
      </w:r>
      <w:r w:rsidR="009C6DCA">
        <w:rPr>
          <w:rFonts w:ascii="Times Roman" w:hAnsi="Times Roman"/>
        </w:rPr>
        <w:t>A</w:t>
      </w:r>
      <w:r w:rsidRPr="00D35667">
        <w:rPr>
          <w:rFonts w:ascii="Times Roman" w:hAnsi="Times Roman"/>
        </w:rPr>
        <w:t xml:space="preserve"> representative from Central 1 (Mr. Lohmueller) stated </w:t>
      </w:r>
      <w:r w:rsidR="009C6DCA">
        <w:rPr>
          <w:rFonts w:ascii="Times Roman" w:hAnsi="Times Roman"/>
        </w:rPr>
        <w:t xml:space="preserve">as much </w:t>
      </w:r>
      <w:r w:rsidRPr="00D35667">
        <w:rPr>
          <w:rFonts w:ascii="Times Roman" w:hAnsi="Times Roman"/>
        </w:rPr>
        <w:t xml:space="preserve">on </w:t>
      </w:r>
      <w:r w:rsidR="009C6DCA">
        <w:rPr>
          <w:rFonts w:ascii="Times Roman" w:hAnsi="Times Roman"/>
        </w:rPr>
        <w:t>C1</w:t>
      </w:r>
      <w:r w:rsidRPr="00D35667">
        <w:rPr>
          <w:rFonts w:ascii="Times Roman" w:hAnsi="Times Roman"/>
        </w:rPr>
        <w:t xml:space="preserve"> letterhead in 2005 when the relationship was first developed.</w:t>
      </w:r>
      <w:r w:rsidRPr="00D35667">
        <w:rPr>
          <w:rStyle w:val="FootnoteReference"/>
          <w:rFonts w:ascii="Times Roman" w:hAnsi="Times Roman"/>
        </w:rPr>
        <w:footnoteReference w:id="113"/>
      </w:r>
      <w:r w:rsidRPr="00D35667">
        <w:rPr>
          <w:rFonts w:ascii="Times Roman" w:hAnsi="Times Roman"/>
        </w:rPr>
        <w:t xml:space="preserve"> </w:t>
      </w:r>
      <w:r>
        <w:rPr>
          <w:rFonts w:ascii="Times Roman" w:hAnsi="Times Roman"/>
        </w:rPr>
        <w:t xml:space="preserve">This letter is </w:t>
      </w:r>
      <w:r>
        <w:rPr>
          <w:rFonts w:ascii="Times Roman" w:hAnsi="Times Roman"/>
        </w:rPr>
        <w:lastRenderedPageBreak/>
        <w:t xml:space="preserve">bolstered by the contracts that govern the relationship, regardless of the fact that they read like </w:t>
      </w:r>
      <w:r w:rsidRPr="00D35667">
        <w:rPr>
          <w:rFonts w:ascii="Times Roman" w:hAnsi="Times Roman"/>
        </w:rPr>
        <w:t>traditional financial instrument</w:t>
      </w:r>
      <w:r>
        <w:rPr>
          <w:rFonts w:ascii="Times Roman" w:hAnsi="Times Roman"/>
        </w:rPr>
        <w:t>s</w:t>
      </w:r>
      <w:r>
        <w:rPr>
          <w:rStyle w:val="FootnoteReference"/>
          <w:rFonts w:ascii="Times Roman" w:hAnsi="Times Roman"/>
        </w:rPr>
        <w:footnoteReference w:id="114"/>
      </w:r>
      <w:r>
        <w:rPr>
          <w:rFonts w:ascii="Times Roman" w:hAnsi="Times Roman"/>
        </w:rPr>
        <w:t>.</w:t>
      </w:r>
      <w:r w:rsidRPr="00D35667">
        <w:rPr>
          <w:rFonts w:ascii="Times Roman" w:hAnsi="Times Roman"/>
        </w:rPr>
        <w:t xml:space="preserve"> Mr. Thomas would have preferred that the parties were firmer in their drafting</w:t>
      </w:r>
      <w:r>
        <w:rPr>
          <w:rFonts w:ascii="Times Roman" w:hAnsi="Times Roman"/>
        </w:rPr>
        <w:t xml:space="preserve"> but he was steady in his opinion that</w:t>
      </w:r>
      <w:r w:rsidRPr="00D35667">
        <w:rPr>
          <w:rFonts w:ascii="Times Roman" w:hAnsi="Times Roman"/>
        </w:rPr>
        <w:t xml:space="preserve"> “it’s not at all unusual for transactions between conventional and Islamic counterparties to be termed in lay terminology for different reasons - This could happen out of laziness. This could happen out of a desire to preserve tax positioning…”</w:t>
      </w:r>
      <w:r>
        <w:rPr>
          <w:rStyle w:val="FootnoteReference"/>
          <w:rFonts w:ascii="Times Roman" w:hAnsi="Times Roman"/>
        </w:rPr>
        <w:footnoteReference w:id="115"/>
      </w:r>
      <w:r w:rsidRPr="00D35667">
        <w:rPr>
          <w:rFonts w:ascii="Times Roman" w:hAnsi="Times Roman"/>
        </w:rPr>
        <w:t xml:space="preserve">. </w:t>
      </w:r>
      <w:r>
        <w:rPr>
          <w:rFonts w:ascii="Times Roman" w:hAnsi="Times Roman"/>
        </w:rPr>
        <w:t>It could also be because</w:t>
      </w:r>
      <w:r w:rsidRPr="00481DBC">
        <w:rPr>
          <w:rFonts w:ascii="Times Roman" w:hAnsi="Times Roman"/>
        </w:rPr>
        <w:t xml:space="preserve"> </w:t>
      </w:r>
      <w:r>
        <w:rPr>
          <w:rFonts w:ascii="Times Roman" w:hAnsi="Times Roman"/>
        </w:rPr>
        <w:t xml:space="preserve">Central 1 was </w:t>
      </w:r>
      <w:r w:rsidRPr="00D35667">
        <w:rPr>
          <w:rFonts w:ascii="Times Roman" w:hAnsi="Times Roman"/>
        </w:rPr>
        <w:t xml:space="preserve">uncomfortable with using such </w:t>
      </w:r>
      <w:r w:rsidR="009C6DCA">
        <w:rPr>
          <w:rFonts w:ascii="Times Roman" w:hAnsi="Times Roman"/>
        </w:rPr>
        <w:t>non-</w:t>
      </w:r>
      <w:r w:rsidRPr="00D35667">
        <w:rPr>
          <w:rFonts w:ascii="Times Roman" w:hAnsi="Times Roman"/>
        </w:rPr>
        <w:t>traditional language and terminology</w:t>
      </w:r>
      <w:r>
        <w:rPr>
          <w:rFonts w:ascii="Times Roman" w:hAnsi="Times Roman"/>
        </w:rPr>
        <w:t>,</w:t>
      </w:r>
      <w:r w:rsidR="009C6DCA">
        <w:rPr>
          <w:rFonts w:ascii="Times Roman" w:hAnsi="Times Roman"/>
        </w:rPr>
        <w:t xml:space="preserve"> particularly if it risked raising flags in the highly regulated environment of Canadian banking.</w:t>
      </w:r>
      <w:r>
        <w:rPr>
          <w:rStyle w:val="FootnoteReference"/>
          <w:rFonts w:ascii="Times Roman" w:hAnsi="Times Roman"/>
        </w:rPr>
        <w:footnoteReference w:id="116"/>
      </w:r>
      <w:r>
        <w:rPr>
          <w:rFonts w:ascii="Times Roman" w:hAnsi="Times Roman"/>
        </w:rPr>
        <w:t xml:space="preserve"> </w:t>
      </w:r>
    </w:p>
    <w:p w14:paraId="3209F9D0" w14:textId="77777777" w:rsidR="00455E9A" w:rsidRPr="00D35667" w:rsidRDefault="00455E9A" w:rsidP="00455E9A">
      <w:pPr>
        <w:pStyle w:val="ListParagraph"/>
        <w:shd w:val="clear" w:color="auto" w:fill="FFFFFF"/>
        <w:spacing w:after="120" w:line="360" w:lineRule="auto"/>
        <w:ind w:left="0"/>
        <w:contextualSpacing w:val="0"/>
        <w:jc w:val="both"/>
        <w:rPr>
          <w:rFonts w:ascii="Times Roman" w:hAnsi="Times Roman"/>
        </w:rPr>
      </w:pPr>
    </w:p>
    <w:p w14:paraId="43C16DBD" w14:textId="77777777" w:rsidR="00455E9A" w:rsidRPr="00D35667" w:rsidRDefault="00455E9A" w:rsidP="00455E9A">
      <w:pPr>
        <w:shd w:val="clear" w:color="auto" w:fill="FFFFFF"/>
        <w:spacing w:after="120" w:line="360" w:lineRule="auto"/>
        <w:ind w:firstLine="720"/>
        <w:jc w:val="both"/>
        <w:rPr>
          <w:rFonts w:ascii="Times Roman" w:hAnsi="Times Roman"/>
          <w:b/>
        </w:rPr>
      </w:pPr>
      <w:r w:rsidRPr="00D35667">
        <w:rPr>
          <w:rFonts w:ascii="Times Roman" w:hAnsi="Times Roman"/>
          <w:b/>
        </w:rPr>
        <w:t>b) Musharakah</w:t>
      </w:r>
    </w:p>
    <w:p w14:paraId="6E9BC8F2" w14:textId="5D1473C6"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 xml:space="preserve">The Musharakah is the </w:t>
      </w:r>
      <w:r>
        <w:rPr>
          <w:rFonts w:ascii="Times Roman" w:hAnsi="Times Roman"/>
        </w:rPr>
        <w:t xml:space="preserve">partnership </w:t>
      </w:r>
      <w:r w:rsidRPr="00D35667">
        <w:rPr>
          <w:rFonts w:ascii="Times Roman" w:hAnsi="Times Roman"/>
        </w:rPr>
        <w:t>ag</w:t>
      </w:r>
      <w:r>
        <w:rPr>
          <w:rFonts w:ascii="Times Roman" w:hAnsi="Times Roman"/>
        </w:rPr>
        <w:t xml:space="preserve">reement entered into between the </w:t>
      </w:r>
      <w:r w:rsidR="008177DC">
        <w:rPr>
          <w:rFonts w:ascii="Times Roman" w:hAnsi="Times Roman"/>
        </w:rPr>
        <w:t>fund provider</w:t>
      </w:r>
      <w:r>
        <w:rPr>
          <w:rFonts w:ascii="Times Roman" w:hAnsi="Times Roman"/>
        </w:rPr>
        <w:t xml:space="preserve"> and the consumer, the homeowner</w:t>
      </w:r>
      <w:r w:rsidRPr="00D35667">
        <w:rPr>
          <w:rFonts w:ascii="Times Roman" w:hAnsi="Times Roman"/>
        </w:rPr>
        <w:t>. The first step is co-ownership of property, the second is a tenancy or a leasing of the property and t</w:t>
      </w:r>
      <w:r>
        <w:rPr>
          <w:rFonts w:ascii="Times Roman" w:hAnsi="Times Roman"/>
        </w:rPr>
        <w:t xml:space="preserve">he third is a rental payback and eventual buy-back of the property. In this case, </w:t>
      </w:r>
      <w:r w:rsidR="008177DC">
        <w:rPr>
          <w:rFonts w:ascii="Times Roman" w:hAnsi="Times Roman"/>
        </w:rPr>
        <w:t>the purchaser gains ownership of</w:t>
      </w:r>
      <w:r>
        <w:rPr>
          <w:rFonts w:ascii="Times Roman" w:hAnsi="Times Roman"/>
        </w:rPr>
        <w:t xml:space="preserve"> the property by paying</w:t>
      </w:r>
      <w:r w:rsidRPr="00D35667">
        <w:rPr>
          <w:rFonts w:ascii="Times Roman" w:hAnsi="Times Roman"/>
        </w:rPr>
        <w:t xml:space="preserve"> UM a monthly rental fee, similar to a </w:t>
      </w:r>
      <w:r>
        <w:rPr>
          <w:rFonts w:ascii="Times Roman" w:hAnsi="Times Roman"/>
        </w:rPr>
        <w:t xml:space="preserve">traditional </w:t>
      </w:r>
      <w:r w:rsidRPr="00D35667">
        <w:rPr>
          <w:rFonts w:ascii="Times Roman" w:hAnsi="Times Roman"/>
        </w:rPr>
        <w:t>mortgage payment</w:t>
      </w:r>
      <w:r>
        <w:rPr>
          <w:rFonts w:ascii="Times Roman" w:hAnsi="Times Roman"/>
        </w:rPr>
        <w:t>, until they were able to buy</w:t>
      </w:r>
      <w:r w:rsidR="009C6DCA">
        <w:rPr>
          <w:rFonts w:ascii="Times Roman" w:hAnsi="Times Roman"/>
        </w:rPr>
        <w:t xml:space="preserve"> </w:t>
      </w:r>
      <w:r w:rsidRPr="00D35667">
        <w:rPr>
          <w:rFonts w:ascii="Times Roman" w:hAnsi="Times Roman"/>
        </w:rPr>
        <w:t xml:space="preserve">back the property entirely. This </w:t>
      </w:r>
      <w:r>
        <w:rPr>
          <w:rFonts w:ascii="Times Roman" w:hAnsi="Times Roman"/>
        </w:rPr>
        <w:t xml:space="preserve">type of partnership </w:t>
      </w:r>
      <w:r w:rsidRPr="00D35667">
        <w:rPr>
          <w:rFonts w:ascii="Times Roman" w:hAnsi="Times Roman"/>
        </w:rPr>
        <w:t>agreement is</w:t>
      </w:r>
      <w:r>
        <w:rPr>
          <w:rFonts w:ascii="Times Roman" w:hAnsi="Times Roman"/>
        </w:rPr>
        <w:t xml:space="preserve"> considered</w:t>
      </w:r>
      <w:r w:rsidRPr="00D35667">
        <w:rPr>
          <w:rFonts w:ascii="Times Roman" w:hAnsi="Times Roman"/>
        </w:rPr>
        <w:t xml:space="preserve"> Sharia compliant because</w:t>
      </w:r>
      <w:r>
        <w:rPr>
          <w:rFonts w:ascii="Times Roman" w:hAnsi="Times Roman"/>
        </w:rPr>
        <w:t xml:space="preserve"> rather than </w:t>
      </w:r>
      <w:r w:rsidR="009C6DCA">
        <w:rPr>
          <w:rFonts w:ascii="Times Roman" w:hAnsi="Times Roman"/>
        </w:rPr>
        <w:t>earning</w:t>
      </w:r>
      <w:r>
        <w:rPr>
          <w:rFonts w:ascii="Times Roman" w:hAnsi="Times Roman"/>
        </w:rPr>
        <w:t xml:space="preserve"> </w:t>
      </w:r>
      <w:r w:rsidR="009C6DCA">
        <w:rPr>
          <w:rFonts w:ascii="Times Roman" w:hAnsi="Times Roman"/>
        </w:rPr>
        <w:t>‘</w:t>
      </w:r>
      <w:r w:rsidRPr="00D35667">
        <w:rPr>
          <w:rFonts w:ascii="Times Roman" w:hAnsi="Times Roman"/>
        </w:rPr>
        <w:t>money</w:t>
      </w:r>
      <w:r>
        <w:rPr>
          <w:rFonts w:ascii="Times Roman" w:hAnsi="Times Roman"/>
        </w:rPr>
        <w:t xml:space="preserve"> on money</w:t>
      </w:r>
      <w:r w:rsidR="009C6DCA">
        <w:rPr>
          <w:rFonts w:ascii="Times Roman" w:hAnsi="Times Roman"/>
        </w:rPr>
        <w:t>’</w:t>
      </w:r>
      <w:r>
        <w:rPr>
          <w:rFonts w:ascii="Times Roman" w:hAnsi="Times Roman"/>
        </w:rPr>
        <w:t xml:space="preserve">, </w:t>
      </w:r>
      <w:r w:rsidRPr="00D35667">
        <w:rPr>
          <w:rFonts w:ascii="Times Roman" w:hAnsi="Times Roman"/>
        </w:rPr>
        <w:t>UM</w:t>
      </w:r>
      <w:r>
        <w:rPr>
          <w:rFonts w:ascii="Times Roman" w:hAnsi="Times Roman"/>
        </w:rPr>
        <w:t>’s</w:t>
      </w:r>
      <w:r w:rsidRPr="00D35667">
        <w:rPr>
          <w:rFonts w:ascii="Times Roman" w:hAnsi="Times Roman"/>
        </w:rPr>
        <w:t xml:space="preserve"> profit </w:t>
      </w:r>
      <w:r>
        <w:rPr>
          <w:rFonts w:ascii="Times Roman" w:hAnsi="Times Roman"/>
        </w:rPr>
        <w:t>is de</w:t>
      </w:r>
      <w:r w:rsidR="009C6DCA">
        <w:rPr>
          <w:rFonts w:ascii="Times Roman" w:hAnsi="Times Roman"/>
        </w:rPr>
        <w:t xml:space="preserve">rived </w:t>
      </w:r>
      <w:r>
        <w:rPr>
          <w:rFonts w:ascii="Times Roman" w:hAnsi="Times Roman"/>
        </w:rPr>
        <w:t>from the homeowner’s</w:t>
      </w:r>
      <w:r w:rsidRPr="00D35667">
        <w:rPr>
          <w:rFonts w:ascii="Times Roman" w:hAnsi="Times Roman"/>
        </w:rPr>
        <w:t xml:space="preserve"> use of the shared property and as such, it is </w:t>
      </w:r>
      <w:r w:rsidR="009C6DCA">
        <w:rPr>
          <w:rFonts w:ascii="Times Roman" w:hAnsi="Times Roman"/>
        </w:rPr>
        <w:t>‘</w:t>
      </w:r>
      <w:r w:rsidRPr="00D35667">
        <w:rPr>
          <w:rFonts w:ascii="Times Roman" w:hAnsi="Times Roman"/>
        </w:rPr>
        <w:t xml:space="preserve">money </w:t>
      </w:r>
      <w:r w:rsidR="009C6DCA">
        <w:rPr>
          <w:rFonts w:ascii="Times Roman" w:hAnsi="Times Roman"/>
        </w:rPr>
        <w:t>on</w:t>
      </w:r>
      <w:r w:rsidRPr="00D35667">
        <w:rPr>
          <w:rFonts w:ascii="Times Roman" w:hAnsi="Times Roman"/>
        </w:rPr>
        <w:t xml:space="preserve"> property</w:t>
      </w:r>
      <w:r w:rsidR="009C6DCA">
        <w:rPr>
          <w:rFonts w:ascii="Times Roman" w:hAnsi="Times Roman"/>
        </w:rPr>
        <w:t>’</w:t>
      </w:r>
      <w:r>
        <w:rPr>
          <w:rStyle w:val="FootnoteReference"/>
          <w:rFonts w:ascii="Times Roman" w:hAnsi="Times Roman"/>
        </w:rPr>
        <w:footnoteReference w:id="117"/>
      </w:r>
      <w:r w:rsidRPr="00D35667">
        <w:rPr>
          <w:rFonts w:ascii="Times Roman" w:hAnsi="Times Roman"/>
        </w:rPr>
        <w:t xml:space="preserve">. </w:t>
      </w:r>
    </w:p>
    <w:p w14:paraId="6978CB38" w14:textId="0342D6D9"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The same lette</w:t>
      </w:r>
      <w:r>
        <w:rPr>
          <w:rFonts w:ascii="Times Roman" w:hAnsi="Times Roman"/>
        </w:rPr>
        <w:t>r on Central 1 letterhead that recognizes that</w:t>
      </w:r>
      <w:r w:rsidRPr="00D35667">
        <w:rPr>
          <w:rFonts w:ascii="Times Roman" w:hAnsi="Times Roman"/>
        </w:rPr>
        <w:t xml:space="preserve"> the relation</w:t>
      </w:r>
      <w:r>
        <w:rPr>
          <w:rFonts w:ascii="Times Roman" w:hAnsi="Times Roman"/>
        </w:rPr>
        <w:t xml:space="preserve">ship between UM and Central 1 </w:t>
      </w:r>
      <w:r w:rsidR="009C6DCA">
        <w:rPr>
          <w:rFonts w:ascii="Times Roman" w:hAnsi="Times Roman"/>
        </w:rPr>
        <w:t>as</w:t>
      </w:r>
      <w:r w:rsidRPr="00D35667">
        <w:rPr>
          <w:rFonts w:ascii="Times Roman" w:hAnsi="Times Roman"/>
        </w:rPr>
        <w:t xml:space="preserve"> a Mudarabah, </w:t>
      </w:r>
      <w:r>
        <w:rPr>
          <w:rFonts w:ascii="Times Roman" w:hAnsi="Times Roman"/>
        </w:rPr>
        <w:t>recognizes that</w:t>
      </w:r>
      <w:r w:rsidRPr="00D35667">
        <w:rPr>
          <w:rFonts w:ascii="Times Roman" w:hAnsi="Times Roman"/>
        </w:rPr>
        <w:t xml:space="preserve"> the relationship </w:t>
      </w:r>
      <w:r>
        <w:rPr>
          <w:rFonts w:ascii="Times Roman" w:hAnsi="Times Roman"/>
        </w:rPr>
        <w:t>between UM and the homeowners is</w:t>
      </w:r>
      <w:r w:rsidRPr="00D35667">
        <w:rPr>
          <w:rFonts w:ascii="Times Roman" w:hAnsi="Times Roman"/>
        </w:rPr>
        <w:t xml:space="preserve"> a Musharakah. In case there was any confusion, the contracts signed by the homeowners are titled “Musharakah Home Agreement”. </w:t>
      </w:r>
    </w:p>
    <w:p w14:paraId="5A192558" w14:textId="77777777" w:rsidR="00455E9A" w:rsidRPr="00D35667" w:rsidRDefault="00455E9A" w:rsidP="00455E9A">
      <w:pPr>
        <w:shd w:val="clear" w:color="auto" w:fill="FFFFFF"/>
        <w:spacing w:after="120" w:line="360" w:lineRule="auto"/>
        <w:jc w:val="both"/>
        <w:rPr>
          <w:rFonts w:ascii="Times Roman" w:hAnsi="Times Roman"/>
          <w:b/>
        </w:rPr>
      </w:pPr>
    </w:p>
    <w:p w14:paraId="11BA806E" w14:textId="77777777" w:rsidR="00455E9A" w:rsidRPr="00D35667" w:rsidRDefault="00455E9A" w:rsidP="00455E9A">
      <w:pPr>
        <w:shd w:val="clear" w:color="auto" w:fill="FFFFFF"/>
        <w:spacing w:after="120" w:line="360" w:lineRule="auto"/>
        <w:ind w:left="720"/>
        <w:jc w:val="both"/>
        <w:rPr>
          <w:rFonts w:ascii="Times Roman" w:hAnsi="Times Roman"/>
          <w:b/>
        </w:rPr>
      </w:pPr>
      <w:r w:rsidRPr="00D35667">
        <w:rPr>
          <w:rFonts w:ascii="Times Roman" w:hAnsi="Times Roman"/>
          <w:b/>
        </w:rPr>
        <w:t xml:space="preserve">c) How the Mudarabah and Musharakah work together </w:t>
      </w:r>
    </w:p>
    <w:p w14:paraId="3ADDBF2C" w14:textId="631DADBD" w:rsidR="00455E9A" w:rsidRPr="001E5946"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lastRenderedPageBreak/>
        <w:t xml:space="preserve">Under the Musharakah agreements entered into with the homeowners, UM receives various monthly </w:t>
      </w:r>
      <w:r>
        <w:rPr>
          <w:rFonts w:ascii="Times Roman" w:hAnsi="Times Roman"/>
        </w:rPr>
        <w:t xml:space="preserve">lease payments. </w:t>
      </w:r>
      <w:r w:rsidRPr="001E5946">
        <w:rPr>
          <w:rFonts w:ascii="Times Roman" w:hAnsi="Times Roman"/>
        </w:rPr>
        <w:t>UM has an obligation to repatriate some of t</w:t>
      </w:r>
      <w:r>
        <w:rPr>
          <w:rFonts w:ascii="Times Roman" w:hAnsi="Times Roman"/>
        </w:rPr>
        <w:t>hose payment funds back to Central 1 under the Mudarabah agreement</w:t>
      </w:r>
      <w:r w:rsidRPr="001E5946">
        <w:rPr>
          <w:rFonts w:ascii="Times Roman" w:hAnsi="Times Roman"/>
        </w:rPr>
        <w:t xml:space="preserve">. </w:t>
      </w:r>
      <w:r w:rsidR="009C6DCA">
        <w:rPr>
          <w:rFonts w:ascii="Times Roman" w:hAnsi="Times Roman"/>
        </w:rPr>
        <w:t>That quantum</w:t>
      </w:r>
      <w:r w:rsidRPr="001E5946">
        <w:rPr>
          <w:rFonts w:ascii="Times Roman" w:hAnsi="Times Roman"/>
        </w:rPr>
        <w:t xml:space="preserve"> depend</w:t>
      </w:r>
      <w:r w:rsidR="009C6DCA">
        <w:rPr>
          <w:rFonts w:ascii="Times Roman" w:hAnsi="Times Roman"/>
        </w:rPr>
        <w:t>s</w:t>
      </w:r>
      <w:r w:rsidRPr="001E5946">
        <w:rPr>
          <w:rFonts w:ascii="Times Roman" w:hAnsi="Times Roman"/>
        </w:rPr>
        <w:t xml:space="preserve"> on the contracts that govern their relationship. Under a typical Mudarabah relationship, the Mudarib is permitted to pay expenses related to the Mudarabah or the Musharaka(s) </w:t>
      </w:r>
      <w:r w:rsidRPr="001E5946">
        <w:rPr>
          <w:rFonts w:ascii="Times Roman" w:hAnsi="Times Roman"/>
          <w:u w:val="single"/>
        </w:rPr>
        <w:t>before</w:t>
      </w:r>
      <w:r w:rsidRPr="001E5946">
        <w:rPr>
          <w:rFonts w:ascii="Times Roman" w:hAnsi="Times Roman"/>
        </w:rPr>
        <w:t xml:space="preserve"> they pay the Rabb</w:t>
      </w:r>
      <w:r>
        <w:rPr>
          <w:rFonts w:ascii="Times Roman" w:hAnsi="Times Roman"/>
        </w:rPr>
        <w:t xml:space="preserve"> al mal. The Mudarib</w:t>
      </w:r>
      <w:r w:rsidRPr="001E5946">
        <w:rPr>
          <w:rFonts w:ascii="Times Roman" w:hAnsi="Times Roman"/>
        </w:rPr>
        <w:t xml:space="preserve"> then take</w:t>
      </w:r>
      <w:r>
        <w:rPr>
          <w:rFonts w:ascii="Times Roman" w:hAnsi="Times Roman"/>
        </w:rPr>
        <w:t>s</w:t>
      </w:r>
      <w:r w:rsidRPr="001E5946">
        <w:rPr>
          <w:rFonts w:ascii="Times Roman" w:hAnsi="Times Roman"/>
        </w:rPr>
        <w:t xml:space="preserve"> their share of the profits</w:t>
      </w:r>
      <w:r>
        <w:rPr>
          <w:rFonts w:ascii="Times Roman" w:hAnsi="Times Roman"/>
        </w:rPr>
        <w:t xml:space="preserve"> (known in this case as UM’s “servicing fee</w:t>
      </w:r>
      <w:r w:rsidR="009C6DCA">
        <w:rPr>
          <w:rFonts w:ascii="Times Roman" w:hAnsi="Times Roman"/>
        </w:rPr>
        <w:t>”</w:t>
      </w:r>
      <w:r>
        <w:rPr>
          <w:rFonts w:ascii="Times Roman" w:hAnsi="Times Roman"/>
        </w:rPr>
        <w:t xml:space="preserve">), </w:t>
      </w:r>
      <w:r w:rsidRPr="001E5946">
        <w:rPr>
          <w:rFonts w:ascii="Times Roman" w:hAnsi="Times Roman"/>
        </w:rPr>
        <w:t xml:space="preserve">and the balance </w:t>
      </w:r>
      <w:r>
        <w:rPr>
          <w:rFonts w:ascii="Times Roman" w:hAnsi="Times Roman"/>
        </w:rPr>
        <w:t>is paid to the</w:t>
      </w:r>
      <w:r w:rsidRPr="001E5946">
        <w:rPr>
          <w:rFonts w:ascii="Times Roman" w:hAnsi="Times Roman"/>
        </w:rPr>
        <w:t xml:space="preserve"> Rabb al mal</w:t>
      </w:r>
      <w:r>
        <w:rPr>
          <w:rStyle w:val="FootnoteReference"/>
          <w:rFonts w:ascii="Times Roman" w:hAnsi="Times Roman"/>
        </w:rPr>
        <w:footnoteReference w:id="118"/>
      </w:r>
      <w:r w:rsidRPr="001E5946">
        <w:rPr>
          <w:rFonts w:ascii="Times Roman" w:hAnsi="Times Roman"/>
        </w:rPr>
        <w:t xml:space="preserve">. </w:t>
      </w:r>
    </w:p>
    <w:p w14:paraId="67FBD233" w14:textId="21A2F055"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 xml:space="preserve">The essential governing contracts between UM and Central 1 include the MMASA and the MMSSA. Both contracts include provisions about the payment of expenses. As indicated </w:t>
      </w:r>
      <w:r w:rsidR="000D51EE">
        <w:rPr>
          <w:rFonts w:ascii="Times Roman" w:hAnsi="Times Roman"/>
        </w:rPr>
        <w:t>earlier</w:t>
      </w:r>
      <w:r w:rsidRPr="00D35667">
        <w:rPr>
          <w:rFonts w:ascii="Times Roman" w:hAnsi="Times Roman"/>
        </w:rPr>
        <w:t xml:space="preserve">, these provisions are </w:t>
      </w:r>
      <w:r w:rsidR="000D51EE">
        <w:rPr>
          <w:rFonts w:ascii="Times Roman" w:hAnsi="Times Roman"/>
        </w:rPr>
        <w:t>disturbingly</w:t>
      </w:r>
      <w:r w:rsidRPr="00D35667">
        <w:rPr>
          <w:rFonts w:ascii="Times Roman" w:hAnsi="Times Roman"/>
        </w:rPr>
        <w:t xml:space="preserve"> v</w:t>
      </w:r>
      <w:r>
        <w:rPr>
          <w:rFonts w:ascii="Times Roman" w:hAnsi="Times Roman"/>
        </w:rPr>
        <w:t>ague. According to Mr. Thomas, unless the contracts explicitly rule</w:t>
      </w:r>
      <w:r w:rsidRPr="00D35667">
        <w:rPr>
          <w:rFonts w:ascii="Times Roman" w:hAnsi="Times Roman"/>
        </w:rPr>
        <w:t xml:space="preserve"> out certain expenses, the M</w:t>
      </w:r>
      <w:r>
        <w:rPr>
          <w:rFonts w:ascii="Times Roman" w:hAnsi="Times Roman"/>
        </w:rPr>
        <w:t>udarib would reasonably believe that they could</w:t>
      </w:r>
      <w:r w:rsidRPr="00D35667">
        <w:rPr>
          <w:rFonts w:ascii="Times Roman" w:hAnsi="Times Roman"/>
        </w:rPr>
        <w:t xml:space="preserve"> pay for whatever expenses they feel are critical to the mission of performing its job, in this case </w:t>
      </w:r>
      <w:r>
        <w:rPr>
          <w:rFonts w:ascii="Times Roman" w:hAnsi="Times Roman"/>
        </w:rPr>
        <w:t>the creation and</w:t>
      </w:r>
      <w:r w:rsidRPr="00D35667">
        <w:rPr>
          <w:rFonts w:ascii="Times Roman" w:hAnsi="Times Roman"/>
        </w:rPr>
        <w:t xml:space="preserve"> selling </w:t>
      </w:r>
      <w:r>
        <w:rPr>
          <w:rFonts w:ascii="Times Roman" w:hAnsi="Times Roman"/>
        </w:rPr>
        <w:t>of Sharia compliant mortgages</w:t>
      </w:r>
      <w:r>
        <w:rPr>
          <w:rStyle w:val="FootnoteReference"/>
          <w:rFonts w:ascii="Times Roman" w:hAnsi="Times Roman"/>
        </w:rPr>
        <w:footnoteReference w:id="119"/>
      </w:r>
      <w:r w:rsidRPr="00D35667">
        <w:rPr>
          <w:rFonts w:ascii="Times Roman" w:hAnsi="Times Roman"/>
        </w:rPr>
        <w:t>.</w:t>
      </w:r>
      <w:r>
        <w:rPr>
          <w:rFonts w:ascii="Times Roman" w:hAnsi="Times Roman"/>
        </w:rPr>
        <w:t xml:space="preserve"> According to Mr. Thomas, if Central 1 did not agree with this interpretation, they ought to have challenged or clarified how expenses would be handled.</w:t>
      </w:r>
      <w:r>
        <w:rPr>
          <w:rStyle w:val="FootnoteReference"/>
          <w:rFonts w:ascii="Times Roman" w:hAnsi="Times Roman"/>
        </w:rPr>
        <w:footnoteReference w:id="120"/>
      </w:r>
    </w:p>
    <w:p w14:paraId="42BBD8DA" w14:textId="17E4A50C"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 xml:space="preserve">Mr. Thomas explained </w:t>
      </w:r>
      <w:r>
        <w:rPr>
          <w:rFonts w:ascii="Times Roman" w:hAnsi="Times Roman"/>
        </w:rPr>
        <w:t>that paying an</w:t>
      </w:r>
      <w:r w:rsidRPr="00D35667">
        <w:rPr>
          <w:rFonts w:ascii="Times Roman" w:hAnsi="Times Roman"/>
        </w:rPr>
        <w:t xml:space="preserve"> SEB is c</w:t>
      </w:r>
      <w:r w:rsidR="000D51EE">
        <w:rPr>
          <w:rFonts w:ascii="Times Roman" w:hAnsi="Times Roman"/>
        </w:rPr>
        <w:t>learly a</w:t>
      </w:r>
      <w:r w:rsidRPr="00D35667">
        <w:rPr>
          <w:rFonts w:ascii="Times Roman" w:hAnsi="Times Roman"/>
        </w:rPr>
        <w:t xml:space="preserve"> necessary </w:t>
      </w:r>
      <w:r w:rsidR="000D51EE">
        <w:rPr>
          <w:rFonts w:ascii="Times Roman" w:hAnsi="Times Roman"/>
        </w:rPr>
        <w:t>expense critical</w:t>
      </w:r>
      <w:r w:rsidRPr="00D35667">
        <w:rPr>
          <w:rFonts w:ascii="Times Roman" w:hAnsi="Times Roman"/>
        </w:rPr>
        <w:t xml:space="preserve"> to the Mudarab</w:t>
      </w:r>
      <w:r>
        <w:rPr>
          <w:rFonts w:ascii="Times Roman" w:hAnsi="Times Roman"/>
        </w:rPr>
        <w:t>ah venture and therefore, would qualify as an expense that</w:t>
      </w:r>
      <w:r w:rsidRPr="00D35667">
        <w:rPr>
          <w:rFonts w:ascii="Times Roman" w:hAnsi="Times Roman"/>
        </w:rPr>
        <w:t xml:space="preserve"> could legitimately be paid prior to p</w:t>
      </w:r>
      <w:r>
        <w:rPr>
          <w:rFonts w:ascii="Times Roman" w:hAnsi="Times Roman"/>
        </w:rPr>
        <w:t>aying Central 1</w:t>
      </w:r>
      <w:r>
        <w:rPr>
          <w:rStyle w:val="FootnoteReference"/>
          <w:rFonts w:ascii="Times Roman" w:hAnsi="Times Roman"/>
        </w:rPr>
        <w:footnoteReference w:id="121"/>
      </w:r>
      <w:r w:rsidRPr="00D35667">
        <w:rPr>
          <w:rFonts w:ascii="Times Roman" w:hAnsi="Times Roman"/>
        </w:rPr>
        <w:t>.</w:t>
      </w:r>
    </w:p>
    <w:p w14:paraId="3B7AF35F" w14:textId="77777777" w:rsid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In terms of any prepayments received from homeowners under the Musharakah agreements, Mr. Thomas explained that according to the rules of Islamic Finance, in the absence of specific guidance in the Mudaraba, the Mudarib</w:t>
      </w:r>
      <w:r>
        <w:rPr>
          <w:rFonts w:ascii="Times Roman" w:hAnsi="Times Roman"/>
        </w:rPr>
        <w:t xml:space="preserve"> could </w:t>
      </w:r>
      <w:r w:rsidRPr="00D35667">
        <w:rPr>
          <w:rFonts w:ascii="Times Roman" w:hAnsi="Times Roman"/>
        </w:rPr>
        <w:t>repatriate those funds to the Rabb al mal whenever they felt it was appropriate</w:t>
      </w:r>
      <w:r>
        <w:rPr>
          <w:rStyle w:val="FootnoteReference"/>
          <w:rFonts w:ascii="Times Roman" w:hAnsi="Times Roman"/>
        </w:rPr>
        <w:footnoteReference w:id="122"/>
      </w:r>
      <w:r>
        <w:rPr>
          <w:rFonts w:ascii="Times Roman" w:hAnsi="Times Roman"/>
        </w:rPr>
        <w:t>.</w:t>
      </w:r>
    </w:p>
    <w:p w14:paraId="76D7449F" w14:textId="77777777" w:rsidR="00455E9A" w:rsidRPr="006B0B90"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The contracts that govern the relationship between UM and Central 1 only provide guidance about pre-payments received in very specific circumstances: as “</w:t>
      </w:r>
      <w:r w:rsidRPr="007D77EC">
        <w:rPr>
          <w:sz w:val="23"/>
          <w:szCs w:val="23"/>
          <w:u w:val="single"/>
        </w:rPr>
        <w:t xml:space="preserve">a </w:t>
      </w:r>
      <w:r w:rsidRPr="007D77EC">
        <w:rPr>
          <w:sz w:val="23"/>
          <w:szCs w:val="23"/>
          <w:u w:val="single"/>
        </w:rPr>
        <w:lastRenderedPageBreak/>
        <w:t>result of sale of the Mortgaged Premises, expropriation, damage of the Mortgaged Premises by fire or other similar cause</w:t>
      </w:r>
      <w:r>
        <w:rPr>
          <w:sz w:val="23"/>
          <w:szCs w:val="23"/>
          <w:u w:val="single"/>
        </w:rPr>
        <w:t>”.</w:t>
      </w:r>
      <w:r>
        <w:rPr>
          <w:rFonts w:ascii="Times Roman" w:hAnsi="Times Roman"/>
        </w:rPr>
        <w:t xml:space="preserve"> </w:t>
      </w:r>
      <w:r w:rsidRPr="006B0B90">
        <w:rPr>
          <w:rFonts w:ascii="Times Roman" w:hAnsi="Times Roman"/>
        </w:rPr>
        <w:t xml:space="preserve">There is </w:t>
      </w:r>
      <w:r>
        <w:rPr>
          <w:rFonts w:ascii="Times Roman" w:hAnsi="Times Roman"/>
        </w:rPr>
        <w:t xml:space="preserve">absolutely </w:t>
      </w:r>
      <w:r w:rsidRPr="006B0B90">
        <w:rPr>
          <w:rFonts w:ascii="Times Roman" w:hAnsi="Times Roman"/>
        </w:rPr>
        <w:t xml:space="preserve">no guidance as to what UM must do with the prepayments </w:t>
      </w:r>
      <w:r>
        <w:rPr>
          <w:rFonts w:ascii="Times Roman" w:hAnsi="Times Roman"/>
        </w:rPr>
        <w:t xml:space="preserve">that are received under any other circumstance. </w:t>
      </w:r>
    </w:p>
    <w:p w14:paraId="3B70820C" w14:textId="77777777" w:rsidR="00455E9A" w:rsidRPr="00D35667" w:rsidRDefault="00455E9A" w:rsidP="00455E9A">
      <w:pPr>
        <w:pStyle w:val="ListParagraph"/>
        <w:shd w:val="clear" w:color="auto" w:fill="FFFFFF"/>
        <w:spacing w:after="120" w:line="360" w:lineRule="auto"/>
        <w:ind w:left="0"/>
        <w:contextualSpacing w:val="0"/>
        <w:jc w:val="both"/>
        <w:rPr>
          <w:rFonts w:ascii="Times Roman" w:hAnsi="Times Roman"/>
        </w:rPr>
      </w:pPr>
    </w:p>
    <w:p w14:paraId="6639CA9E" w14:textId="77777777" w:rsidR="00455E9A" w:rsidRPr="00D35667" w:rsidRDefault="00455E9A" w:rsidP="00455E9A">
      <w:pPr>
        <w:pStyle w:val="ListParagraph"/>
        <w:shd w:val="clear" w:color="auto" w:fill="FFFFFF"/>
        <w:spacing w:after="120" w:line="360" w:lineRule="auto"/>
        <w:ind w:left="0"/>
        <w:contextualSpacing w:val="0"/>
        <w:jc w:val="both"/>
        <w:rPr>
          <w:rFonts w:ascii="Times Roman" w:hAnsi="Times Roman"/>
          <w:b/>
        </w:rPr>
      </w:pPr>
      <w:r w:rsidRPr="00D35667">
        <w:rPr>
          <w:rFonts w:ascii="Times Roman" w:hAnsi="Times Roman"/>
          <w:b/>
        </w:rPr>
        <w:t>d) Mudarabah Breakdown</w:t>
      </w:r>
    </w:p>
    <w:p w14:paraId="521EFB72" w14:textId="77777777"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Unlike many of the Crown witnesses, Mr. Thomas was able to identify the cultural chasm that delineates the relationship between UM and Central 1:</w:t>
      </w:r>
    </w:p>
    <w:p w14:paraId="09A11B69" w14:textId="77777777" w:rsidR="00455E9A" w:rsidRPr="00D35667" w:rsidRDefault="00455E9A" w:rsidP="00455E9A">
      <w:pPr>
        <w:shd w:val="clear" w:color="auto" w:fill="FFFFFF"/>
        <w:spacing w:after="120" w:line="360" w:lineRule="auto"/>
        <w:ind w:left="720"/>
        <w:jc w:val="both"/>
        <w:rPr>
          <w:rFonts w:ascii="Times Roman" w:hAnsi="Times Roman"/>
        </w:rPr>
      </w:pPr>
      <w:r w:rsidRPr="00D35667">
        <w:rPr>
          <w:rFonts w:ascii="Times Roman" w:hAnsi="Times Roman"/>
        </w:rPr>
        <w:t>“…there’s no evidence that UM, at least that I saw, thinks that the relationship is any different. They feel that they’re being pressured to give up more of the profits, but they don’t appear to understand that they’re being treated as a, a borrower. Whereas it, it seems that Central was taking a harder and harder view that this is purely a borrower/lender relationship</w:t>
      </w:r>
      <w:r>
        <w:rPr>
          <w:rStyle w:val="FootnoteReference"/>
          <w:rFonts w:ascii="Times Roman" w:hAnsi="Times Roman"/>
        </w:rPr>
        <w:footnoteReference w:id="123"/>
      </w:r>
      <w:r>
        <w:rPr>
          <w:rFonts w:ascii="Times Roman" w:hAnsi="Times Roman"/>
        </w:rPr>
        <w:t>”</w:t>
      </w:r>
    </w:p>
    <w:p w14:paraId="04A53A34" w14:textId="5B0751CE" w:rsid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In the case of a</w:t>
      </w:r>
      <w:r w:rsidRPr="00D35667">
        <w:rPr>
          <w:rFonts w:ascii="Times Roman" w:hAnsi="Times Roman"/>
        </w:rPr>
        <w:t xml:space="preserve"> Mudarabah breakdown, all of the accumulated money should first be allocated towards any outstanding or unpaid obligations of the Mudarabah (SEB included) </w:t>
      </w:r>
      <w:r w:rsidR="000D51EE">
        <w:rPr>
          <w:rFonts w:ascii="Times Roman" w:hAnsi="Times Roman"/>
        </w:rPr>
        <w:t>while the remainder</w:t>
      </w:r>
      <w:r w:rsidRPr="00D35667">
        <w:rPr>
          <w:rFonts w:ascii="Times Roman" w:hAnsi="Times Roman"/>
        </w:rPr>
        <w:t xml:space="preserve"> should ultimately go back to the Rabb al mal.</w:t>
      </w:r>
      <w:r>
        <w:rPr>
          <w:rStyle w:val="FootnoteReference"/>
          <w:rFonts w:ascii="Times Roman" w:hAnsi="Times Roman"/>
        </w:rPr>
        <w:footnoteReference w:id="124"/>
      </w:r>
    </w:p>
    <w:p w14:paraId="51B69310" w14:textId="42DA3C61" w:rsid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In this case, although there was a breakdown of the Mudarabah, the Musharaka’s were still in working order. The homeowner’s were making their payments in accordance with the contracts and were prepared to continue making those payments. In accordance with the rules of Islamic Finance, the Musharakah agreements should have continued to operate. It was up to Central 1 to step into the shoes of UM and work with the homeowners in coming to a Sharia compliant solution. As Mr. Thomas eloquently stated:</w:t>
      </w:r>
    </w:p>
    <w:p w14:paraId="6434B32A" w14:textId="77777777" w:rsidR="00455E9A" w:rsidRPr="00D35667" w:rsidRDefault="00455E9A" w:rsidP="00455E9A">
      <w:pPr>
        <w:pStyle w:val="ListParagraph"/>
        <w:shd w:val="clear" w:color="auto" w:fill="FFFFFF"/>
        <w:spacing w:after="120" w:line="360" w:lineRule="auto"/>
        <w:contextualSpacing w:val="0"/>
        <w:jc w:val="both"/>
        <w:rPr>
          <w:rFonts w:ascii="Times Roman" w:hAnsi="Times Roman"/>
        </w:rPr>
      </w:pPr>
      <w:r w:rsidRPr="00B613AC">
        <w:rPr>
          <w:rFonts w:ascii="Times Roman" w:hAnsi="Times Roman"/>
        </w:rPr>
        <w:t xml:space="preserve"> “Once UM was out of the picture, I would have thou</w:t>
      </w:r>
      <w:r>
        <w:rPr>
          <w:rFonts w:ascii="Times Roman" w:hAnsi="Times Roman"/>
        </w:rPr>
        <w:t>ght that the musharakah</w:t>
      </w:r>
      <w:r w:rsidRPr="00B613AC">
        <w:rPr>
          <w:rFonts w:ascii="Times Roman" w:hAnsi="Times Roman"/>
        </w:rPr>
        <w:t xml:space="preserve"> arrangements would continue to be in place and that Central would honour those agreements by themselves. In the absence of UM, it would strike me that article 17</w:t>
      </w:r>
      <w:r>
        <w:rPr>
          <w:rFonts w:ascii="Times Roman" w:hAnsi="Times Roman"/>
        </w:rPr>
        <w:t xml:space="preserve"> of the document prepared by – </w:t>
      </w:r>
      <w:r w:rsidRPr="00B613AC">
        <w:rPr>
          <w:rFonts w:ascii="Times Roman" w:hAnsi="Times Roman"/>
        </w:rPr>
        <w:t xml:space="preserve">or reviewed by Mufti (indiscernible) requires mediation and in the absence of UM, Central should have mediated with the </w:t>
      </w:r>
      <w:r w:rsidRPr="00B613AC">
        <w:rPr>
          <w:rFonts w:ascii="Times Roman" w:hAnsi="Times Roman"/>
        </w:rPr>
        <w:lastRenderedPageBreak/>
        <w:t>community members who had purchased their houses under musharakah if they wanted to change things, but this s</w:t>
      </w:r>
      <w:r>
        <w:rPr>
          <w:rFonts w:ascii="Times Roman" w:hAnsi="Times Roman"/>
        </w:rPr>
        <w:t>eems not to have happened.</w:t>
      </w:r>
      <w:r>
        <w:rPr>
          <w:rStyle w:val="FootnoteReference"/>
          <w:rFonts w:ascii="Times Roman" w:hAnsi="Times Roman"/>
        </w:rPr>
        <w:footnoteReference w:id="125"/>
      </w:r>
    </w:p>
    <w:p w14:paraId="54CA30BE" w14:textId="77777777" w:rsidR="00455E9A" w:rsidRPr="00D35667" w:rsidRDefault="00455E9A" w:rsidP="00455E9A">
      <w:pPr>
        <w:pStyle w:val="ListParagraph"/>
        <w:shd w:val="clear" w:color="auto" w:fill="FFFFFF"/>
        <w:spacing w:after="120" w:line="360" w:lineRule="auto"/>
        <w:ind w:left="0"/>
        <w:contextualSpacing w:val="0"/>
        <w:jc w:val="both"/>
        <w:rPr>
          <w:rFonts w:ascii="Times Roman" w:hAnsi="Times Roman"/>
        </w:rPr>
      </w:pPr>
    </w:p>
    <w:p w14:paraId="6BBCC4BC" w14:textId="77777777" w:rsidR="00455E9A" w:rsidRPr="00D35667" w:rsidRDefault="00455E9A" w:rsidP="00455E9A">
      <w:pPr>
        <w:pStyle w:val="Heading4"/>
        <w:ind w:left="720"/>
        <w:rPr>
          <w:color w:val="auto"/>
        </w:rPr>
      </w:pPr>
      <w:bookmarkStart w:id="38" w:name="_Toc411191407"/>
      <w:bookmarkStart w:id="39" w:name="_Toc411860409"/>
      <w:r w:rsidRPr="00D35667">
        <w:rPr>
          <w:color w:val="auto"/>
        </w:rPr>
        <w:t>Sharia Ethics Boards (SEBs)</w:t>
      </w:r>
      <w:bookmarkEnd w:id="38"/>
      <w:bookmarkEnd w:id="39"/>
    </w:p>
    <w:p w14:paraId="43D446B9" w14:textId="77777777" w:rsidR="00455E9A" w:rsidRPr="00D35667" w:rsidRDefault="00455E9A" w:rsidP="00455E9A">
      <w:pPr>
        <w:rPr>
          <w:rFonts w:ascii="Times Roman" w:hAnsi="Times Roman"/>
        </w:rPr>
      </w:pPr>
    </w:p>
    <w:p w14:paraId="41AA0CBC" w14:textId="621E0AB4"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An SEB is a group of advisors or scholars who are experts in Sharia law</w:t>
      </w:r>
      <w:r>
        <w:rPr>
          <w:rFonts w:ascii="Times Roman" w:hAnsi="Times Roman"/>
        </w:rPr>
        <w:t xml:space="preserve">. Their role is to give advice </w:t>
      </w:r>
      <w:r w:rsidRPr="00D35667">
        <w:rPr>
          <w:rFonts w:ascii="Times Roman" w:hAnsi="Times Roman"/>
        </w:rPr>
        <w:t>to organizations like UM or to the broader Muslim community who will be utilizing the services/product</w:t>
      </w:r>
      <w:r w:rsidR="000D51EE">
        <w:rPr>
          <w:rFonts w:ascii="Times Roman" w:hAnsi="Times Roman"/>
        </w:rPr>
        <w:t>s</w:t>
      </w:r>
      <w:r w:rsidRPr="00D35667">
        <w:rPr>
          <w:rFonts w:ascii="Times Roman" w:hAnsi="Times Roman"/>
        </w:rPr>
        <w:t xml:space="preserve"> of the organization, a</w:t>
      </w:r>
      <w:r w:rsidR="000D51EE">
        <w:rPr>
          <w:rFonts w:ascii="Times Roman" w:hAnsi="Times Roman"/>
        </w:rPr>
        <w:t>s to</w:t>
      </w:r>
      <w:r w:rsidRPr="00D35667">
        <w:rPr>
          <w:rFonts w:ascii="Times Roman" w:hAnsi="Times Roman"/>
        </w:rPr>
        <w:t xml:space="preserve"> whether or not </w:t>
      </w:r>
      <w:r w:rsidR="000D51EE">
        <w:rPr>
          <w:rFonts w:ascii="Times Roman" w:hAnsi="Times Roman"/>
        </w:rPr>
        <w:t>a particular</w:t>
      </w:r>
      <w:r w:rsidRPr="00D35667">
        <w:rPr>
          <w:rFonts w:ascii="Times Roman" w:hAnsi="Times Roman"/>
        </w:rPr>
        <w:t xml:space="preserve"> service/</w:t>
      </w:r>
      <w:r>
        <w:rPr>
          <w:rFonts w:ascii="Times Roman" w:hAnsi="Times Roman"/>
        </w:rPr>
        <w:t>product is Sharia compliant.</w:t>
      </w:r>
      <w:r>
        <w:rPr>
          <w:rStyle w:val="FootnoteReference"/>
          <w:rFonts w:ascii="Times Roman" w:hAnsi="Times Roman"/>
        </w:rPr>
        <w:footnoteReference w:id="126"/>
      </w:r>
      <w:r>
        <w:rPr>
          <w:rFonts w:ascii="Times Roman" w:hAnsi="Times Roman"/>
        </w:rPr>
        <w:t xml:space="preserve"> </w:t>
      </w:r>
    </w:p>
    <w:p w14:paraId="33B766DC" w14:textId="29E85CBE" w:rsidR="00455E9A" w:rsidRPr="00B45293"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SEBs are comprised of scholars who resonate with the local community that they are servicing. They are a signal of legitimacy and form a bridge from the organization to the consumer. Mr. Thomas explained that it is important to find scholars that connect with</w:t>
      </w:r>
      <w:r w:rsidR="000D51EE">
        <w:rPr>
          <w:rFonts w:ascii="Times Roman" w:hAnsi="Times Roman"/>
        </w:rPr>
        <w:t xml:space="preserve">, </w:t>
      </w:r>
      <w:r w:rsidRPr="00D35667">
        <w:rPr>
          <w:rFonts w:ascii="Times Roman" w:hAnsi="Times Roman"/>
        </w:rPr>
        <w:t>and are appealing to</w:t>
      </w:r>
      <w:r w:rsidR="000D51EE">
        <w:rPr>
          <w:rFonts w:ascii="Times Roman" w:hAnsi="Times Roman"/>
        </w:rPr>
        <w:t>,</w:t>
      </w:r>
      <w:r w:rsidRPr="00D35667">
        <w:rPr>
          <w:rFonts w:ascii="Times Roman" w:hAnsi="Times Roman"/>
        </w:rPr>
        <w:t xml:space="preserve"> the local community </w:t>
      </w:r>
      <w:r w:rsidR="000D51EE">
        <w:rPr>
          <w:rFonts w:ascii="Times Roman" w:hAnsi="Times Roman"/>
        </w:rPr>
        <w:t>even if such persons might lack deep experience in finance</w:t>
      </w:r>
      <w:r>
        <w:rPr>
          <w:rStyle w:val="FootnoteReference"/>
          <w:rFonts w:ascii="Times Roman" w:hAnsi="Times Roman"/>
        </w:rPr>
        <w:footnoteReference w:id="127"/>
      </w:r>
      <w:r>
        <w:rPr>
          <w:rFonts w:ascii="Times Roman" w:hAnsi="Times Roman"/>
        </w:rPr>
        <w:t xml:space="preserve">. In fact, if the scholars are sufficiently known to the local community, they might be considered </w:t>
      </w:r>
      <w:r w:rsidR="000D51EE">
        <w:rPr>
          <w:rFonts w:ascii="Times Roman" w:hAnsi="Times Roman"/>
        </w:rPr>
        <w:t xml:space="preserve">by the target market as even </w:t>
      </w:r>
      <w:r>
        <w:rPr>
          <w:rFonts w:ascii="Times Roman" w:hAnsi="Times Roman"/>
        </w:rPr>
        <w:t>more trustworthy than scholars wh</w:t>
      </w:r>
      <w:r w:rsidR="000D51EE">
        <w:rPr>
          <w:rFonts w:ascii="Times Roman" w:hAnsi="Times Roman"/>
        </w:rPr>
        <w:t>o enjoy international recognition</w:t>
      </w:r>
      <w:r>
        <w:rPr>
          <w:rFonts w:ascii="Times Roman" w:hAnsi="Times Roman"/>
        </w:rPr>
        <w:t>.</w:t>
      </w:r>
      <w:r>
        <w:rPr>
          <w:rStyle w:val="FootnoteReference"/>
          <w:rFonts w:ascii="Times Roman" w:hAnsi="Times Roman"/>
        </w:rPr>
        <w:footnoteReference w:id="128"/>
      </w:r>
      <w:r>
        <w:rPr>
          <w:rFonts w:ascii="Times Roman" w:hAnsi="Times Roman"/>
        </w:rPr>
        <w:t xml:space="preserve"> </w:t>
      </w:r>
    </w:p>
    <w:p w14:paraId="1DF1C23E" w14:textId="09828CB8"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 xml:space="preserve">When an organization hires an SEB, they are actually “hiring their new compliance.” Management of the organization often feels that they are obliged to defer to the superior knowledge of the Sharia board in matters that </w:t>
      </w:r>
      <w:r>
        <w:rPr>
          <w:rFonts w:ascii="Times Roman" w:hAnsi="Times Roman"/>
        </w:rPr>
        <w:t>relate to the Islamic faith</w:t>
      </w:r>
      <w:r>
        <w:rPr>
          <w:rStyle w:val="FootnoteReference"/>
          <w:rFonts w:ascii="Times Roman" w:hAnsi="Times Roman"/>
        </w:rPr>
        <w:footnoteReference w:id="129"/>
      </w:r>
      <w:r w:rsidRPr="00D35667">
        <w:rPr>
          <w:rFonts w:ascii="Times Roman" w:hAnsi="Times Roman"/>
        </w:rPr>
        <w:t xml:space="preserve">. </w:t>
      </w:r>
      <w:r w:rsidR="000D51EE">
        <w:rPr>
          <w:rFonts w:ascii="Times Roman" w:hAnsi="Times Roman"/>
        </w:rPr>
        <w:t>M</w:t>
      </w:r>
      <w:r>
        <w:rPr>
          <w:rFonts w:ascii="Times Roman" w:hAnsi="Times Roman"/>
        </w:rPr>
        <w:t>embers of the management team would be highly</w:t>
      </w:r>
      <w:r w:rsidR="000D51EE">
        <w:rPr>
          <w:rFonts w:ascii="Times Roman" w:hAnsi="Times Roman"/>
        </w:rPr>
        <w:t xml:space="preserve"> motivated</w:t>
      </w:r>
      <w:r>
        <w:rPr>
          <w:rFonts w:ascii="Times Roman" w:hAnsi="Times Roman"/>
        </w:rPr>
        <w:t xml:space="preserve"> to follow the SEB’s rulings, opinions and requests.</w:t>
      </w:r>
      <w:r>
        <w:rPr>
          <w:rStyle w:val="FootnoteReference"/>
          <w:rFonts w:ascii="Times Roman" w:hAnsi="Times Roman"/>
        </w:rPr>
        <w:footnoteReference w:id="130"/>
      </w:r>
      <w:r>
        <w:rPr>
          <w:rFonts w:ascii="Times Roman" w:hAnsi="Times Roman"/>
        </w:rPr>
        <w:t xml:space="preserve"> </w:t>
      </w:r>
      <w:r w:rsidRPr="00D35667">
        <w:rPr>
          <w:rFonts w:ascii="Times Roman" w:hAnsi="Times Roman"/>
        </w:rPr>
        <w:t>UM</w:t>
      </w:r>
      <w:r w:rsidR="000D51EE">
        <w:rPr>
          <w:rFonts w:ascii="Times Roman" w:hAnsi="Times Roman"/>
        </w:rPr>
        <w:t>’s</w:t>
      </w:r>
      <w:r w:rsidRPr="00D35667">
        <w:rPr>
          <w:rFonts w:ascii="Times Roman" w:hAnsi="Times Roman"/>
        </w:rPr>
        <w:t xml:space="preserve"> shifted </w:t>
      </w:r>
      <w:r w:rsidR="000D51EE">
        <w:rPr>
          <w:rFonts w:ascii="Times Roman" w:hAnsi="Times Roman"/>
        </w:rPr>
        <w:t>entire</w:t>
      </w:r>
      <w:r w:rsidRPr="00D35667">
        <w:rPr>
          <w:rFonts w:ascii="Times Roman" w:hAnsi="Times Roman"/>
        </w:rPr>
        <w:t xml:space="preserve"> financing model and </w:t>
      </w:r>
      <w:r>
        <w:rPr>
          <w:rFonts w:ascii="Times Roman" w:hAnsi="Times Roman"/>
        </w:rPr>
        <w:t xml:space="preserve">product </w:t>
      </w:r>
      <w:r w:rsidR="000D51EE">
        <w:rPr>
          <w:rFonts w:ascii="Times Roman" w:hAnsi="Times Roman"/>
        </w:rPr>
        <w:t xml:space="preserve">development were designed </w:t>
      </w:r>
      <w:r>
        <w:rPr>
          <w:rFonts w:ascii="Times Roman" w:hAnsi="Times Roman"/>
        </w:rPr>
        <w:t xml:space="preserve">under the guidance </w:t>
      </w:r>
      <w:r w:rsidRPr="00D35667">
        <w:rPr>
          <w:rFonts w:ascii="Times Roman" w:hAnsi="Times Roman"/>
        </w:rPr>
        <w:t xml:space="preserve">of their SEB. A transformation of that nature would have required </w:t>
      </w:r>
      <w:r w:rsidR="000D51EE">
        <w:rPr>
          <w:rFonts w:ascii="Times Roman" w:hAnsi="Times Roman"/>
        </w:rPr>
        <w:t>considerable</w:t>
      </w:r>
      <w:r w:rsidRPr="00D35667">
        <w:rPr>
          <w:rFonts w:ascii="Times Roman" w:hAnsi="Times Roman"/>
        </w:rPr>
        <w:t xml:space="preserve"> d</w:t>
      </w:r>
      <w:r>
        <w:rPr>
          <w:rFonts w:ascii="Times Roman" w:hAnsi="Times Roman"/>
        </w:rPr>
        <w:t>etailed work and engagement</w:t>
      </w:r>
      <w:r>
        <w:rPr>
          <w:rStyle w:val="FootnoteReference"/>
          <w:rFonts w:ascii="Times Roman" w:hAnsi="Times Roman"/>
        </w:rPr>
        <w:footnoteReference w:id="131"/>
      </w:r>
      <w:r w:rsidRPr="00D35667">
        <w:rPr>
          <w:rFonts w:ascii="Times Roman" w:hAnsi="Times Roman"/>
        </w:rPr>
        <w:t xml:space="preserve">. </w:t>
      </w:r>
    </w:p>
    <w:p w14:paraId="5EB58077" w14:textId="77777777"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lastRenderedPageBreak/>
        <w:t>The members of an SEB collectively issue one or more fatwas, which is a ruling or determination that a transaction or an activity is either permissible or not permissible from an Islamic perspective. It tells Muslim-Canadians that the product/service as structured under Canadian law complies with the rules of Sharia law o</w:t>
      </w:r>
      <w:r>
        <w:rPr>
          <w:rFonts w:ascii="Times Roman" w:hAnsi="Times Roman"/>
        </w:rPr>
        <w:t>r Islamic jurisprudence.</w:t>
      </w:r>
      <w:r>
        <w:rPr>
          <w:rStyle w:val="FootnoteReference"/>
          <w:rFonts w:ascii="Times Roman" w:hAnsi="Times Roman"/>
        </w:rPr>
        <w:footnoteReference w:id="132"/>
      </w:r>
      <w:r>
        <w:rPr>
          <w:rFonts w:ascii="Times Roman" w:hAnsi="Times Roman"/>
        </w:rPr>
        <w:t xml:space="preserve"> It is not unusual that local scholars will seek the advice of their peers, including more well known international scholars.</w:t>
      </w:r>
      <w:r>
        <w:rPr>
          <w:rStyle w:val="FootnoteReference"/>
          <w:rFonts w:ascii="Times Roman" w:hAnsi="Times Roman"/>
        </w:rPr>
        <w:footnoteReference w:id="133"/>
      </w:r>
      <w:r>
        <w:rPr>
          <w:rFonts w:ascii="Times Roman" w:hAnsi="Times Roman"/>
        </w:rPr>
        <w:t xml:space="preserve"> </w:t>
      </w:r>
    </w:p>
    <w:p w14:paraId="740E3B0E" w14:textId="77777777" w:rsidR="00455E9A" w:rsidRPr="00D35667" w:rsidRDefault="00455E9A" w:rsidP="00455E9A">
      <w:pPr>
        <w:shd w:val="clear" w:color="auto" w:fill="FFFFFF"/>
        <w:spacing w:after="120" w:line="360" w:lineRule="auto"/>
        <w:ind w:left="720" w:firstLine="720"/>
        <w:jc w:val="both"/>
        <w:rPr>
          <w:rFonts w:ascii="Times Roman" w:hAnsi="Times Roman"/>
          <w:b/>
        </w:rPr>
      </w:pPr>
    </w:p>
    <w:p w14:paraId="60FC8284" w14:textId="77777777" w:rsidR="00455E9A" w:rsidRPr="00D35667" w:rsidRDefault="00455E9A" w:rsidP="00455E9A">
      <w:pPr>
        <w:shd w:val="clear" w:color="auto" w:fill="FFFFFF"/>
        <w:spacing w:after="120" w:line="360" w:lineRule="auto"/>
        <w:ind w:left="720" w:firstLine="720"/>
        <w:jc w:val="both"/>
        <w:rPr>
          <w:rFonts w:ascii="Times Roman" w:hAnsi="Times Roman"/>
          <w:b/>
        </w:rPr>
      </w:pPr>
      <w:r w:rsidRPr="00D35667">
        <w:rPr>
          <w:rFonts w:ascii="Times Roman" w:hAnsi="Times Roman"/>
          <w:b/>
        </w:rPr>
        <w:t xml:space="preserve">Payment </w:t>
      </w:r>
      <w:r>
        <w:rPr>
          <w:rFonts w:ascii="Times Roman" w:hAnsi="Times Roman"/>
          <w:b/>
        </w:rPr>
        <w:t xml:space="preserve">of SEB Scholars </w:t>
      </w:r>
    </w:p>
    <w:p w14:paraId="5227FAA9" w14:textId="74261E4F" w:rsidR="00455E9A" w:rsidRPr="00E17F13"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When a new product is introduced in a country that has a traditional interest-based financial system, such as the introduction of Sharia complia</w:t>
      </w:r>
      <w:r>
        <w:rPr>
          <w:rFonts w:ascii="Times Roman" w:hAnsi="Times Roman"/>
        </w:rPr>
        <w:t>nt home financing in Canada, an</w:t>
      </w:r>
      <w:r w:rsidRPr="00D35667">
        <w:rPr>
          <w:rFonts w:ascii="Times Roman" w:hAnsi="Times Roman"/>
        </w:rPr>
        <w:t xml:space="preserve"> SEB would </w:t>
      </w:r>
      <w:r>
        <w:rPr>
          <w:rFonts w:ascii="Times Roman" w:hAnsi="Times Roman"/>
        </w:rPr>
        <w:t xml:space="preserve">be required to </w:t>
      </w:r>
      <w:r w:rsidRPr="00D35667">
        <w:rPr>
          <w:rFonts w:ascii="Times Roman" w:hAnsi="Times Roman"/>
        </w:rPr>
        <w:t>spend significant time</w:t>
      </w:r>
      <w:r>
        <w:rPr>
          <w:rFonts w:ascii="Times Roman" w:hAnsi="Times Roman"/>
        </w:rPr>
        <w:t xml:space="preserve"> and resources</w:t>
      </w:r>
      <w:r w:rsidRPr="00D35667">
        <w:rPr>
          <w:rFonts w:ascii="Times Roman" w:hAnsi="Times Roman"/>
        </w:rPr>
        <w:t xml:space="preserve"> trying to understand the documentation and trying to find resources that support th</w:t>
      </w:r>
      <w:r>
        <w:rPr>
          <w:rFonts w:ascii="Times Roman" w:hAnsi="Times Roman"/>
        </w:rPr>
        <w:t>e legitimacy of the product</w:t>
      </w:r>
      <w:r>
        <w:rPr>
          <w:rStyle w:val="FootnoteReference"/>
          <w:rFonts w:ascii="Times Roman" w:hAnsi="Times Roman"/>
        </w:rPr>
        <w:footnoteReference w:id="134"/>
      </w:r>
      <w:r w:rsidRPr="00D35667">
        <w:rPr>
          <w:rFonts w:ascii="Times Roman" w:hAnsi="Times Roman"/>
        </w:rPr>
        <w:t xml:space="preserve">. SEB members are not volunteers; they expect to be paid for their time. Payment arrangements can be quite informal where there is no written contract but </w:t>
      </w:r>
      <w:r w:rsidR="000D51EE">
        <w:rPr>
          <w:rFonts w:ascii="Times Roman" w:hAnsi="Times Roman"/>
        </w:rPr>
        <w:t xml:space="preserve">that does not supersede </w:t>
      </w:r>
      <w:r w:rsidRPr="00D35667">
        <w:rPr>
          <w:rFonts w:ascii="Times Roman" w:hAnsi="Times Roman"/>
        </w:rPr>
        <w:t>an expectation that payment will be made</w:t>
      </w:r>
      <w:r w:rsidR="000D51EE">
        <w:rPr>
          <w:rFonts w:ascii="Times Roman" w:hAnsi="Times Roman"/>
        </w:rPr>
        <w:t>.</w:t>
      </w:r>
      <w:r>
        <w:rPr>
          <w:rStyle w:val="FootnoteReference"/>
          <w:rFonts w:ascii="Times Roman" w:hAnsi="Times Roman"/>
        </w:rPr>
        <w:footnoteReference w:id="135"/>
      </w:r>
      <w:r w:rsidRPr="00D35667">
        <w:rPr>
          <w:rFonts w:ascii="Times Roman" w:hAnsi="Times Roman"/>
        </w:rPr>
        <w:t xml:space="preserve">. </w:t>
      </w:r>
      <w:r>
        <w:rPr>
          <w:rFonts w:ascii="Times Roman" w:hAnsi="Times Roman"/>
        </w:rPr>
        <w:t xml:space="preserve">It is not </w:t>
      </w:r>
      <w:r w:rsidRPr="00E17F13">
        <w:rPr>
          <w:sz w:val="23"/>
          <w:szCs w:val="23"/>
        </w:rPr>
        <w:t xml:space="preserve">particularly strange to find that the </w:t>
      </w:r>
      <w:r>
        <w:rPr>
          <w:sz w:val="23"/>
          <w:szCs w:val="23"/>
        </w:rPr>
        <w:t>management company generates the invoice for the s</w:t>
      </w:r>
      <w:r w:rsidRPr="00E17F13">
        <w:rPr>
          <w:sz w:val="23"/>
          <w:szCs w:val="23"/>
        </w:rPr>
        <w:t>cholar</w:t>
      </w:r>
      <w:r>
        <w:rPr>
          <w:sz w:val="23"/>
          <w:szCs w:val="23"/>
        </w:rPr>
        <w:t xml:space="preserve">(s) as they </w:t>
      </w:r>
      <w:r w:rsidR="000D51EE">
        <w:rPr>
          <w:sz w:val="23"/>
          <w:szCs w:val="23"/>
        </w:rPr>
        <w:t>often</w:t>
      </w:r>
      <w:r>
        <w:rPr>
          <w:sz w:val="23"/>
          <w:szCs w:val="23"/>
        </w:rPr>
        <w:t xml:space="preserve"> require assistance in defining the terms of payment.</w:t>
      </w:r>
      <w:r w:rsidR="000D51EE">
        <w:rPr>
          <w:sz w:val="23"/>
          <w:szCs w:val="23"/>
        </w:rPr>
        <w:t xml:space="preserve"> Thus, Kalair’s limited involvement in formalizing and preparing the MCC invoice does not stand out as a red flag.</w:t>
      </w:r>
      <w:r>
        <w:rPr>
          <w:rStyle w:val="FootnoteReference"/>
          <w:sz w:val="23"/>
          <w:szCs w:val="23"/>
        </w:rPr>
        <w:footnoteReference w:id="136"/>
      </w:r>
      <w:r>
        <w:rPr>
          <w:sz w:val="23"/>
          <w:szCs w:val="23"/>
        </w:rPr>
        <w:t xml:space="preserve"> </w:t>
      </w:r>
    </w:p>
    <w:p w14:paraId="62C81722" w14:textId="6CC062FB"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SEBs are </w:t>
      </w:r>
      <w:r w:rsidR="000D51EE">
        <w:rPr>
          <w:rFonts w:ascii="Times Roman" w:hAnsi="Times Roman"/>
        </w:rPr>
        <w:t>often</w:t>
      </w:r>
      <w:r>
        <w:rPr>
          <w:rFonts w:ascii="Times Roman" w:hAnsi="Times Roman"/>
        </w:rPr>
        <w:t xml:space="preserve"> willing to defer their compensation, </w:t>
      </w:r>
      <w:r w:rsidR="000D51EE">
        <w:rPr>
          <w:rFonts w:ascii="Times Roman" w:hAnsi="Times Roman"/>
        </w:rPr>
        <w:t>particularly</w:t>
      </w:r>
      <w:r>
        <w:rPr>
          <w:rFonts w:ascii="Times Roman" w:hAnsi="Times Roman"/>
        </w:rPr>
        <w:t xml:space="preserve"> when the management company is a start-up</w:t>
      </w:r>
      <w:r w:rsidRPr="00D35667">
        <w:rPr>
          <w:rFonts w:ascii="Times Roman" w:hAnsi="Times Roman"/>
        </w:rPr>
        <w:t>.</w:t>
      </w:r>
      <w:r>
        <w:rPr>
          <w:rStyle w:val="FootnoteReference"/>
          <w:rFonts w:ascii="Times Roman" w:hAnsi="Times Roman"/>
        </w:rPr>
        <w:footnoteReference w:id="137"/>
      </w:r>
      <w:r w:rsidRPr="00D35667">
        <w:rPr>
          <w:rFonts w:ascii="Times Roman" w:hAnsi="Times Roman"/>
        </w:rPr>
        <w:t xml:space="preserve"> Thomas opined that in an ideal world, the MCC invoice would </w:t>
      </w:r>
      <w:r w:rsidR="000D51EE">
        <w:rPr>
          <w:rFonts w:ascii="Times Roman" w:hAnsi="Times Roman"/>
        </w:rPr>
        <w:t xml:space="preserve">have been </w:t>
      </w:r>
      <w:r w:rsidRPr="00D35667">
        <w:rPr>
          <w:rFonts w:ascii="Times Roman" w:hAnsi="Times Roman"/>
        </w:rPr>
        <w:t xml:space="preserve">more specific, but </w:t>
      </w:r>
      <w:r w:rsidR="000D51EE">
        <w:rPr>
          <w:rFonts w:ascii="Times Roman" w:hAnsi="Times Roman"/>
        </w:rPr>
        <w:t xml:space="preserve">noted that </w:t>
      </w:r>
      <w:r w:rsidRPr="00D35667">
        <w:rPr>
          <w:rFonts w:ascii="Times Roman" w:hAnsi="Times Roman"/>
        </w:rPr>
        <w:t>there are some scholars who do not issue invoices at all</w:t>
      </w:r>
      <w:r>
        <w:rPr>
          <w:rStyle w:val="FootnoteReference"/>
          <w:rFonts w:ascii="Times Roman" w:hAnsi="Times Roman"/>
        </w:rPr>
        <w:footnoteReference w:id="138"/>
      </w:r>
      <w:r w:rsidRPr="00D35667">
        <w:rPr>
          <w:rFonts w:ascii="Times Roman" w:hAnsi="Times Roman"/>
        </w:rPr>
        <w:t xml:space="preserve">.  </w:t>
      </w:r>
    </w:p>
    <w:p w14:paraId="312C6937" w14:textId="77777777"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lastRenderedPageBreak/>
        <w:t>In terms of quantum, Mr. Thomas provides a</w:t>
      </w:r>
      <w:r>
        <w:rPr>
          <w:rFonts w:ascii="Times Roman" w:hAnsi="Times Roman"/>
        </w:rPr>
        <w:t>n annual income</w:t>
      </w:r>
      <w:r w:rsidRPr="00D35667">
        <w:rPr>
          <w:rFonts w:ascii="Times Roman" w:hAnsi="Times Roman"/>
        </w:rPr>
        <w:t xml:space="preserve"> range of $5000.00 to $210,000.00 USD per year</w:t>
      </w:r>
      <w:r>
        <w:rPr>
          <w:rStyle w:val="FootnoteReference"/>
          <w:rFonts w:ascii="Times Roman" w:hAnsi="Times Roman"/>
        </w:rPr>
        <w:footnoteReference w:id="139"/>
      </w:r>
      <w:r w:rsidRPr="00D35667">
        <w:rPr>
          <w:rFonts w:ascii="Times Roman" w:hAnsi="Times Roman"/>
        </w:rPr>
        <w:t xml:space="preserve">. In </w:t>
      </w:r>
      <w:r>
        <w:rPr>
          <w:rFonts w:ascii="Times Roman" w:hAnsi="Times Roman"/>
        </w:rPr>
        <w:t>speaking about</w:t>
      </w:r>
      <w:r w:rsidRPr="00D35667">
        <w:rPr>
          <w:rFonts w:ascii="Times Roman" w:hAnsi="Times Roman"/>
        </w:rPr>
        <w:t xml:space="preserve"> the amount paid to MCC, Mr. Thomas said the following:</w:t>
      </w:r>
    </w:p>
    <w:p w14:paraId="0FCD321C" w14:textId="77777777" w:rsidR="00455E9A" w:rsidRPr="00D35667" w:rsidRDefault="00455E9A" w:rsidP="00455E9A">
      <w:pPr>
        <w:pStyle w:val="ListParagraph"/>
        <w:shd w:val="clear" w:color="auto" w:fill="FFFFFF"/>
        <w:spacing w:after="120" w:line="360" w:lineRule="auto"/>
        <w:contextualSpacing w:val="0"/>
        <w:jc w:val="both"/>
        <w:rPr>
          <w:rFonts w:ascii="Times Roman" w:hAnsi="Times Roman"/>
        </w:rPr>
      </w:pPr>
      <w:r w:rsidRPr="00D35667">
        <w:rPr>
          <w:rFonts w:ascii="Times Roman" w:hAnsi="Times Roman"/>
        </w:rPr>
        <w:t>“Well, when I do the simple math and divide the number by the number of years that the scholars were active with UM, the number is not, is not a terrifying or exceptionally high number. When I look at the relative obscurity of the Canadian Scholars, they’re just not the most famous guys in Islamic finance and the total (indiscernible) the Egyptian Scholars, the number seems high. Mr. Kalair was would not easily seek to negotiate or re-negotiate if posed with a, a particular number or (indiscernible) from there. There are elders that (indiscernible) and particular religious leaders. So, is it high? I think so. Unusually high? No… But is it a situation where many managers who (indiscernible) difficulty to push back? Yes. Is it a situation where many managers would not be comfortable pushing back, especially having let i</w:t>
      </w:r>
      <w:r>
        <w:rPr>
          <w:rFonts w:ascii="Times Roman" w:hAnsi="Times Roman"/>
        </w:rPr>
        <w:t>t go for 10 years or more”.</w:t>
      </w:r>
      <w:r>
        <w:rPr>
          <w:rStyle w:val="FootnoteReference"/>
          <w:rFonts w:ascii="Times Roman" w:hAnsi="Times Roman"/>
        </w:rPr>
        <w:footnoteReference w:id="140"/>
      </w:r>
    </w:p>
    <w:p w14:paraId="4E080874" w14:textId="688DA755" w:rsid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 xml:space="preserve">In light of Mr. Thomas’s comment that Guidance Financial, another North American Islamic Finance entity, is paying its scholars significantly more than MCC, the invoice amount seems </w:t>
      </w:r>
      <w:r w:rsidR="00062BF8">
        <w:rPr>
          <w:rFonts w:ascii="Times Roman" w:hAnsi="Times Roman"/>
        </w:rPr>
        <w:t>well within the normative range</w:t>
      </w:r>
      <w:r>
        <w:rPr>
          <w:rFonts w:ascii="Times Roman" w:hAnsi="Times Roman"/>
        </w:rPr>
        <w:t>.</w:t>
      </w:r>
      <w:r>
        <w:rPr>
          <w:rStyle w:val="FootnoteReference"/>
          <w:rFonts w:ascii="Times Roman" w:hAnsi="Times Roman"/>
        </w:rPr>
        <w:footnoteReference w:id="141"/>
      </w:r>
      <w:r>
        <w:rPr>
          <w:rFonts w:ascii="Times Roman" w:hAnsi="Times Roman"/>
        </w:rPr>
        <w:t xml:space="preserve">  </w:t>
      </w:r>
    </w:p>
    <w:p w14:paraId="25393165" w14:textId="77777777"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An SEB also has the ability to issue a fine against the organization if they feel that the organization has engaged in a procedural misstep that is contrary to Sharia law. Generally, they would direct that the fine be paid to an independent charity however, should the misstep result in direct harm to the consumer, they would direct that the fine to be paid back to the consumer who suffered the harm</w:t>
      </w:r>
      <w:r>
        <w:rPr>
          <w:rFonts w:ascii="Times Roman" w:hAnsi="Times Roman"/>
        </w:rPr>
        <w:t>.</w:t>
      </w:r>
      <w:r>
        <w:rPr>
          <w:rStyle w:val="FootnoteReference"/>
          <w:rFonts w:ascii="Times Roman" w:hAnsi="Times Roman"/>
        </w:rPr>
        <w:footnoteReference w:id="142"/>
      </w:r>
    </w:p>
    <w:p w14:paraId="1E28AEB5" w14:textId="77777777" w:rsidR="00455E9A" w:rsidRPr="00D35667" w:rsidRDefault="00455E9A" w:rsidP="00455E9A">
      <w:pPr>
        <w:pStyle w:val="ListParagraph"/>
        <w:shd w:val="clear" w:color="auto" w:fill="FFFFFF"/>
        <w:spacing w:after="120" w:line="360" w:lineRule="auto"/>
        <w:ind w:left="0"/>
        <w:contextualSpacing w:val="0"/>
        <w:jc w:val="both"/>
        <w:rPr>
          <w:rFonts w:ascii="Times Roman" w:hAnsi="Times Roman"/>
        </w:rPr>
      </w:pPr>
    </w:p>
    <w:p w14:paraId="19C32661" w14:textId="77777777" w:rsidR="00455E9A" w:rsidRDefault="00455E9A" w:rsidP="00455E9A">
      <w:pPr>
        <w:pStyle w:val="Heading4"/>
        <w:ind w:left="720"/>
        <w:rPr>
          <w:color w:val="auto"/>
        </w:rPr>
      </w:pPr>
      <w:bookmarkStart w:id="40" w:name="_Toc411191408"/>
      <w:bookmarkStart w:id="41" w:name="_Toc411860410"/>
      <w:r w:rsidRPr="00D35667">
        <w:rPr>
          <w:color w:val="auto"/>
        </w:rPr>
        <w:t>Gold and Islamic Finance</w:t>
      </w:r>
      <w:bookmarkEnd w:id="40"/>
      <w:bookmarkEnd w:id="41"/>
    </w:p>
    <w:p w14:paraId="6EA41BCC" w14:textId="77777777" w:rsidR="00455E9A" w:rsidRPr="003358E0" w:rsidRDefault="00455E9A" w:rsidP="00455E9A"/>
    <w:p w14:paraId="28CB42AB" w14:textId="44AB1316" w:rsidR="00455E9A" w:rsidRDefault="005144A7"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lastRenderedPageBreak/>
        <w:t>There is a cultural attraction to gold in Islamic communities. Gold has an ancient religious connection to Islam as one of the six staple goods mentioned i</w:t>
      </w:r>
      <w:r w:rsidR="004C7B25">
        <w:rPr>
          <w:rFonts w:ascii="Times Roman" w:hAnsi="Times Roman"/>
        </w:rPr>
        <w:t>n the Quran.</w:t>
      </w:r>
      <w:r w:rsidR="004C7B25">
        <w:rPr>
          <w:rStyle w:val="FootnoteReference"/>
          <w:rFonts w:ascii="Times Roman" w:hAnsi="Times Roman"/>
        </w:rPr>
        <w:footnoteReference w:id="143"/>
      </w:r>
      <w:r w:rsidR="004C7B25">
        <w:rPr>
          <w:rFonts w:ascii="Times Roman" w:hAnsi="Times Roman"/>
        </w:rPr>
        <w:t xml:space="preserve"> </w:t>
      </w:r>
      <w:r>
        <w:rPr>
          <w:rFonts w:ascii="Times Roman" w:hAnsi="Times Roman"/>
        </w:rPr>
        <w:t xml:space="preserve">Recent history has </w:t>
      </w:r>
      <w:r w:rsidR="00455E9A" w:rsidRPr="00D35667">
        <w:rPr>
          <w:rFonts w:ascii="Times Roman" w:hAnsi="Times Roman"/>
        </w:rPr>
        <w:t>seen a collapse of the currency in Iran, Libya, Syria, Iraq and</w:t>
      </w:r>
      <w:r>
        <w:rPr>
          <w:rFonts w:ascii="Times Roman" w:hAnsi="Times Roman"/>
        </w:rPr>
        <w:t>,</w:t>
      </w:r>
      <w:r w:rsidR="00455E9A" w:rsidRPr="00D35667">
        <w:rPr>
          <w:rFonts w:ascii="Times Roman" w:hAnsi="Times Roman"/>
        </w:rPr>
        <w:t xml:space="preserve"> most importantl</w:t>
      </w:r>
      <w:r w:rsidR="00455E9A">
        <w:rPr>
          <w:rFonts w:ascii="Times Roman" w:hAnsi="Times Roman"/>
        </w:rPr>
        <w:t>y for our purposes, in Egypt</w:t>
      </w:r>
      <w:r w:rsidR="00455E9A">
        <w:rPr>
          <w:rStyle w:val="FootnoteReference"/>
          <w:rFonts w:ascii="Times Roman" w:hAnsi="Times Roman"/>
        </w:rPr>
        <w:footnoteReference w:id="144"/>
      </w:r>
      <w:r w:rsidR="00455E9A" w:rsidRPr="00D35667">
        <w:rPr>
          <w:rFonts w:ascii="Times Roman" w:hAnsi="Times Roman"/>
        </w:rPr>
        <w:t>.  With that in mind, when asked about the payment of the MCC scholars in gold, Mr. Thomas responded, “from a Sharia perspective on permissibility it’s totally permissible. From a business perspect</w:t>
      </w:r>
      <w:r w:rsidR="00455E9A">
        <w:rPr>
          <w:rFonts w:ascii="Times Roman" w:hAnsi="Times Roman"/>
        </w:rPr>
        <w:t>ive it’s completely unusual</w:t>
      </w:r>
      <w:r w:rsidR="00455E9A">
        <w:rPr>
          <w:rStyle w:val="FootnoteReference"/>
          <w:rFonts w:ascii="Times Roman" w:hAnsi="Times Roman"/>
        </w:rPr>
        <w:footnoteReference w:id="145"/>
      </w:r>
      <w:r w:rsidR="00455E9A" w:rsidRPr="00D35667">
        <w:rPr>
          <w:rFonts w:ascii="Times Roman" w:hAnsi="Times Roman"/>
        </w:rPr>
        <w:t>.</w:t>
      </w:r>
    </w:p>
    <w:p w14:paraId="18C960C8" w14:textId="77777777" w:rsidR="00455E9A" w:rsidRPr="00E17F13" w:rsidRDefault="00455E9A" w:rsidP="00455E9A">
      <w:pPr>
        <w:pStyle w:val="ListParagraph"/>
        <w:shd w:val="clear" w:color="auto" w:fill="FFFFFF"/>
        <w:spacing w:after="120" w:line="360" w:lineRule="auto"/>
        <w:ind w:left="0"/>
        <w:contextualSpacing w:val="0"/>
        <w:jc w:val="both"/>
        <w:rPr>
          <w:rFonts w:ascii="Times Roman" w:hAnsi="Times Roman"/>
        </w:rPr>
      </w:pPr>
    </w:p>
    <w:p w14:paraId="00929727" w14:textId="77777777" w:rsidR="00455E9A" w:rsidRDefault="00455E9A" w:rsidP="00455E9A">
      <w:pPr>
        <w:pStyle w:val="Heading4"/>
        <w:ind w:firstLine="720"/>
        <w:rPr>
          <w:color w:val="auto"/>
        </w:rPr>
      </w:pPr>
      <w:bookmarkStart w:id="42" w:name="_Toc411860411"/>
      <w:r w:rsidRPr="00E17F13">
        <w:rPr>
          <w:color w:val="auto"/>
        </w:rPr>
        <w:t>Romspen Commitment Letter</w:t>
      </w:r>
      <w:bookmarkEnd w:id="42"/>
      <w:r w:rsidRPr="00E17F13">
        <w:rPr>
          <w:color w:val="auto"/>
        </w:rPr>
        <w:t xml:space="preserve"> </w:t>
      </w:r>
    </w:p>
    <w:p w14:paraId="12BD5304" w14:textId="77777777" w:rsidR="00455E9A" w:rsidRPr="003358E0" w:rsidRDefault="00455E9A" w:rsidP="00455E9A"/>
    <w:p w14:paraId="04267B80" w14:textId="77777777" w:rsidR="00455E9A" w:rsidRDefault="00455E9A" w:rsidP="00455E9A">
      <w:pPr>
        <w:pStyle w:val="ListParagraph"/>
        <w:numPr>
          <w:ilvl w:val="0"/>
          <w:numId w:val="1"/>
        </w:numPr>
        <w:spacing w:after="120" w:line="360" w:lineRule="auto"/>
        <w:ind w:left="0" w:firstLine="0"/>
        <w:contextualSpacing w:val="0"/>
        <w:jc w:val="both"/>
        <w:rPr>
          <w:rFonts w:ascii="Times" w:hAnsi="Times" w:cs="Times"/>
        </w:rPr>
      </w:pPr>
      <w:r>
        <w:rPr>
          <w:rFonts w:ascii="Times Roman" w:hAnsi="Times Roman"/>
        </w:rPr>
        <w:t>In paragraph 309 the Crown alleges, “</w:t>
      </w:r>
      <w:r>
        <w:rPr>
          <w:rFonts w:ascii="Times" w:hAnsi="Times" w:cs="Times"/>
        </w:rPr>
        <w:t>Mr. Kalair’s</w:t>
      </w:r>
      <w:r w:rsidRPr="008F3B6A">
        <w:rPr>
          <w:rFonts w:ascii="Times" w:hAnsi="Times" w:cs="Times"/>
        </w:rPr>
        <w:t xml:space="preserve"> willingness to accept non-</w:t>
      </w:r>
      <w:r>
        <w:rPr>
          <w:rFonts w:ascii="Times" w:hAnsi="Times" w:cs="Times"/>
        </w:rPr>
        <w:t xml:space="preserve">Shariah </w:t>
      </w:r>
      <w:r w:rsidRPr="008F3B6A">
        <w:rPr>
          <w:rFonts w:ascii="Times" w:hAnsi="Times" w:cs="Times"/>
        </w:rPr>
        <w:t>compliant alternate funding</w:t>
      </w:r>
      <w:r>
        <w:rPr>
          <w:rFonts w:ascii="Times" w:hAnsi="Times" w:cs="Times"/>
        </w:rPr>
        <w:t xml:space="preserve"> [Romspen commitment letter]</w:t>
      </w:r>
      <w:r w:rsidRPr="008F3B6A">
        <w:rPr>
          <w:rFonts w:ascii="Times" w:hAnsi="Times" w:cs="Times"/>
        </w:rPr>
        <w:t xml:space="preserve"> belied his claim that he </w:t>
      </w:r>
      <w:r>
        <w:rPr>
          <w:rFonts w:ascii="Times" w:hAnsi="Times" w:cs="Times"/>
        </w:rPr>
        <w:t>believed</w:t>
      </w:r>
      <w:r w:rsidRPr="008F3B6A">
        <w:rPr>
          <w:rFonts w:ascii="Times" w:hAnsi="Times" w:cs="Times"/>
        </w:rPr>
        <w:t xml:space="preserve"> his agreements with Central 1 must be interpreted as Mudarabah.</w:t>
      </w:r>
      <w:r>
        <w:rPr>
          <w:rFonts w:ascii="Times" w:hAnsi="Times" w:cs="Times"/>
        </w:rPr>
        <w:t>”</w:t>
      </w:r>
    </w:p>
    <w:p w14:paraId="535CA192" w14:textId="093B6AB5" w:rsidR="00455E9A" w:rsidRPr="003358E0" w:rsidRDefault="00455E9A" w:rsidP="00455E9A">
      <w:pPr>
        <w:pStyle w:val="ListParagraph"/>
        <w:numPr>
          <w:ilvl w:val="0"/>
          <w:numId w:val="1"/>
        </w:numPr>
        <w:spacing w:after="120" w:line="360" w:lineRule="auto"/>
        <w:ind w:left="0" w:firstLine="0"/>
        <w:contextualSpacing w:val="0"/>
        <w:jc w:val="both"/>
        <w:rPr>
          <w:rFonts w:ascii="Times" w:hAnsi="Times" w:cs="Times"/>
        </w:rPr>
      </w:pPr>
      <w:r>
        <w:rPr>
          <w:rFonts w:ascii="Times" w:hAnsi="Times" w:cs="Times"/>
        </w:rPr>
        <w:t>To the contrary, the Romspen agreement is perfectly Sharia compliant. The Crown has conveniently ignored the documents entered into evidence</w:t>
      </w:r>
      <w:r>
        <w:rPr>
          <w:rStyle w:val="FootnoteReference"/>
          <w:rFonts w:ascii="Times" w:hAnsi="Times" w:cs="Times"/>
        </w:rPr>
        <w:footnoteReference w:id="146"/>
      </w:r>
      <w:r>
        <w:rPr>
          <w:rFonts w:ascii="Times" w:hAnsi="Times" w:cs="Times"/>
        </w:rPr>
        <w:t xml:space="preserve"> and shown to Mr. Thomas. These supporting documents and agreements which include the Gowling</w:t>
      </w:r>
      <w:r w:rsidR="005144A7">
        <w:rPr>
          <w:rFonts w:ascii="Times" w:hAnsi="Times" w:cs="Times"/>
        </w:rPr>
        <w:t>s</w:t>
      </w:r>
      <w:r>
        <w:rPr>
          <w:rFonts w:ascii="Times" w:hAnsi="Times" w:cs="Times"/>
        </w:rPr>
        <w:t xml:space="preserve"> opinion letter, the Musharaka agreement, the memo and the fatwas signed by international scholars would have also been sent to Romspen along side the commitment letters. According to Mr. Thomas, in the realm of Islamic Finance it is not unusual to have conventional documents with side agreements</w:t>
      </w:r>
      <w:r w:rsidR="005144A7">
        <w:rPr>
          <w:rFonts w:ascii="Times" w:hAnsi="Times" w:cs="Times"/>
        </w:rPr>
        <w:t xml:space="preserve"> and Thomas stated that the Romspen agreement was perfectly sharia compliant when analyzed as part of the</w:t>
      </w:r>
      <w:r w:rsidR="004C7B25">
        <w:rPr>
          <w:rFonts w:ascii="Times" w:hAnsi="Times" w:cs="Times"/>
        </w:rPr>
        <w:t xml:space="preserve"> complete documentary package.</w:t>
      </w:r>
      <w:r w:rsidR="004C7B25">
        <w:rPr>
          <w:rStyle w:val="FootnoteReference"/>
          <w:rFonts w:ascii="Times" w:hAnsi="Times" w:cs="Times"/>
        </w:rPr>
        <w:footnoteReference w:id="147"/>
      </w:r>
    </w:p>
    <w:p w14:paraId="23AF4BD9" w14:textId="77777777" w:rsidR="00455E9A" w:rsidRDefault="00455E9A" w:rsidP="00455E9A">
      <w:pPr>
        <w:pStyle w:val="Heading4"/>
        <w:ind w:left="720"/>
        <w:rPr>
          <w:color w:val="auto"/>
        </w:rPr>
      </w:pPr>
      <w:r w:rsidRPr="00D35667">
        <w:br/>
      </w:r>
      <w:bookmarkStart w:id="43" w:name="_Toc411191409"/>
      <w:bookmarkStart w:id="44" w:name="_Toc411860412"/>
      <w:r>
        <w:rPr>
          <w:color w:val="auto"/>
        </w:rPr>
        <w:t xml:space="preserve">Expert </w:t>
      </w:r>
      <w:r w:rsidRPr="00D35667">
        <w:rPr>
          <w:color w:val="auto"/>
        </w:rPr>
        <w:t>Conclusion</w:t>
      </w:r>
      <w:bookmarkEnd w:id="43"/>
      <w:bookmarkEnd w:id="44"/>
      <w:r w:rsidRPr="00D35667">
        <w:rPr>
          <w:color w:val="auto"/>
        </w:rPr>
        <w:t xml:space="preserve"> </w:t>
      </w:r>
    </w:p>
    <w:p w14:paraId="16FD91E9" w14:textId="77777777" w:rsidR="00455E9A" w:rsidRPr="003358E0" w:rsidRDefault="00455E9A" w:rsidP="00455E9A"/>
    <w:p w14:paraId="18D35577" w14:textId="686D12F6" w:rsidR="00455E9A" w:rsidRPr="00D35667"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D35667">
        <w:rPr>
          <w:rFonts w:ascii="Times Roman" w:hAnsi="Times Roman"/>
        </w:rPr>
        <w:t>According to Mr. Thomas, UM and Central 1’s execution of a Canadian Sharia compliant Mudarabah were not in accordance with best practice. Although genuine efforts were made, “they were not the world’s sterling example o</w:t>
      </w:r>
      <w:r>
        <w:rPr>
          <w:rFonts w:ascii="Times Roman" w:hAnsi="Times Roman"/>
        </w:rPr>
        <w:t xml:space="preserve">f the best way to do </w:t>
      </w:r>
      <w:r>
        <w:rPr>
          <w:rFonts w:ascii="Times Roman" w:hAnsi="Times Roman"/>
        </w:rPr>
        <w:lastRenderedPageBreak/>
        <w:t>things</w:t>
      </w:r>
      <w:r>
        <w:rPr>
          <w:rStyle w:val="FootnoteReference"/>
          <w:rFonts w:ascii="Times Roman" w:hAnsi="Times Roman"/>
        </w:rPr>
        <w:footnoteReference w:id="148"/>
      </w:r>
      <w:r w:rsidRPr="00D35667">
        <w:rPr>
          <w:rFonts w:ascii="Times Roman" w:hAnsi="Times Roman"/>
        </w:rPr>
        <w:t xml:space="preserve">.”  That </w:t>
      </w:r>
      <w:r w:rsidR="005144A7">
        <w:rPr>
          <w:rFonts w:ascii="Times Roman" w:hAnsi="Times Roman"/>
        </w:rPr>
        <w:t>said</w:t>
      </w:r>
      <w:r w:rsidRPr="00D35667">
        <w:rPr>
          <w:rFonts w:ascii="Times Roman" w:hAnsi="Times Roman"/>
        </w:rPr>
        <w:t xml:space="preserve">, </w:t>
      </w:r>
      <w:r>
        <w:rPr>
          <w:rFonts w:ascii="Times Roman" w:hAnsi="Times Roman"/>
        </w:rPr>
        <w:t>it is his conclusion</w:t>
      </w:r>
      <w:r w:rsidRPr="00D35667">
        <w:rPr>
          <w:rFonts w:ascii="Times Roman" w:hAnsi="Times Roman"/>
        </w:rPr>
        <w:t xml:space="preserve"> that a Mudarabah did</w:t>
      </w:r>
      <w:r>
        <w:rPr>
          <w:rFonts w:ascii="Times Roman" w:hAnsi="Times Roman"/>
        </w:rPr>
        <w:t xml:space="preserve"> exist and that the documents support that conclusion.</w:t>
      </w:r>
    </w:p>
    <w:p w14:paraId="7E826415" w14:textId="38F436CC" w:rsidR="00455E9A" w:rsidRPr="00315089" w:rsidRDefault="005144A7"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Pr>
          <w:rFonts w:ascii="Times Roman" w:hAnsi="Times Roman"/>
        </w:rPr>
        <w:t>F</w:t>
      </w:r>
      <w:r w:rsidR="00455E9A" w:rsidRPr="00D35667">
        <w:rPr>
          <w:rFonts w:ascii="Times Roman" w:hAnsi="Times Roman"/>
        </w:rPr>
        <w:t xml:space="preserve">ailing to execute a successful Sharia compliant business with a comprehensive and specific Mudarabah contract is not a criminal offence. The evidence of an expert in Islamic Finance and the application of Sharia law to contracts </w:t>
      </w:r>
      <w:r>
        <w:rPr>
          <w:rFonts w:ascii="Times Roman" w:hAnsi="Times Roman"/>
        </w:rPr>
        <w:t>supports</w:t>
      </w:r>
      <w:r w:rsidR="00455E9A" w:rsidRPr="00D35667">
        <w:rPr>
          <w:rFonts w:ascii="Times Roman" w:hAnsi="Times Roman"/>
        </w:rPr>
        <w:t xml:space="preserve"> Mr. Kalair’s </w:t>
      </w:r>
      <w:r>
        <w:rPr>
          <w:rFonts w:ascii="Times Roman" w:hAnsi="Times Roman"/>
        </w:rPr>
        <w:t xml:space="preserve">claimed </w:t>
      </w:r>
      <w:r w:rsidR="00455E9A" w:rsidRPr="00D35667">
        <w:rPr>
          <w:rFonts w:ascii="Times Roman" w:hAnsi="Times Roman"/>
        </w:rPr>
        <w:t>understanding of his obligations in his relationship with Central 1. An Islamic interpretation of the contracts relied upon at the time suggests:</w:t>
      </w:r>
    </w:p>
    <w:p w14:paraId="6B46801F" w14:textId="77777777" w:rsidR="00455E9A" w:rsidRPr="00D35667" w:rsidRDefault="00455E9A" w:rsidP="00455E9A">
      <w:pPr>
        <w:pStyle w:val="ListParagraph"/>
        <w:numPr>
          <w:ilvl w:val="0"/>
          <w:numId w:val="9"/>
        </w:numPr>
        <w:shd w:val="clear" w:color="auto" w:fill="FFFFFF"/>
        <w:spacing w:after="120" w:line="360" w:lineRule="auto"/>
        <w:contextualSpacing w:val="0"/>
        <w:jc w:val="both"/>
        <w:rPr>
          <w:rFonts w:ascii="Times Roman" w:hAnsi="Times Roman"/>
        </w:rPr>
      </w:pPr>
      <w:r w:rsidRPr="00D35667">
        <w:rPr>
          <w:rFonts w:ascii="Times Roman" w:hAnsi="Times Roman"/>
        </w:rPr>
        <w:t xml:space="preserve">Mr. Kalair was permitted to pay legitimate business expenses, including legitimate fees owed to their SEB, prior to remitting those funds to Central 1; and </w:t>
      </w:r>
    </w:p>
    <w:p w14:paraId="795DA87E" w14:textId="0BE6FD70" w:rsidR="00BB4BEB" w:rsidRDefault="00455E9A" w:rsidP="00BB4BEB">
      <w:pPr>
        <w:pStyle w:val="ListParagraph"/>
        <w:numPr>
          <w:ilvl w:val="0"/>
          <w:numId w:val="9"/>
        </w:numPr>
        <w:shd w:val="clear" w:color="auto" w:fill="FFFFFF"/>
        <w:spacing w:after="120" w:line="360" w:lineRule="auto"/>
        <w:contextualSpacing w:val="0"/>
        <w:jc w:val="both"/>
        <w:rPr>
          <w:rFonts w:ascii="Times Roman" w:hAnsi="Times Roman"/>
        </w:rPr>
      </w:pPr>
      <w:r w:rsidRPr="00D35667">
        <w:rPr>
          <w:rFonts w:ascii="Times Roman" w:hAnsi="Times Roman"/>
        </w:rPr>
        <w:t>Mr. Kalair was permitted to use the homeowner prepayments to be held and utilized for accrued expenses, legal fees, consultancy fees from the SEB etc.</w:t>
      </w:r>
    </w:p>
    <w:p w14:paraId="3795768C" w14:textId="3592E4D0" w:rsidR="005144A7" w:rsidRPr="005144A7" w:rsidRDefault="005144A7" w:rsidP="005144A7">
      <w:pPr>
        <w:shd w:val="clear" w:color="auto" w:fill="FFFFFF"/>
        <w:spacing w:after="120" w:line="360" w:lineRule="auto"/>
        <w:jc w:val="both"/>
        <w:rPr>
          <w:rFonts w:ascii="Times Roman" w:hAnsi="Times Roman"/>
        </w:rPr>
      </w:pPr>
      <w:r>
        <w:rPr>
          <w:rFonts w:ascii="Times Roman" w:hAnsi="Times Roman"/>
        </w:rPr>
        <w:t>Thomas’ evidence provides the necessary contextual backdrop against which to assess whether there is an air of reality to Kalair’s claimed justification for his actions. In light of the expert sharia evidence, it is impossible to dismiss Kalair’s subjectively held believe that he was acting in a permissible manner throughout his interactions with C1 and the homeowners.</w:t>
      </w:r>
    </w:p>
    <w:p w14:paraId="25B51CAA" w14:textId="77777777" w:rsidR="00455E9A" w:rsidRPr="00455E9A" w:rsidRDefault="00455E9A" w:rsidP="00455E9A">
      <w:pPr>
        <w:pStyle w:val="ListParagraph"/>
        <w:shd w:val="clear" w:color="auto" w:fill="FFFFFF"/>
        <w:spacing w:after="120" w:line="360" w:lineRule="auto"/>
        <w:ind w:left="1080"/>
        <w:contextualSpacing w:val="0"/>
        <w:jc w:val="both"/>
        <w:rPr>
          <w:rFonts w:ascii="Times Roman" w:hAnsi="Times Roman"/>
        </w:rPr>
      </w:pPr>
    </w:p>
    <w:p w14:paraId="2F8B7190" w14:textId="77777777" w:rsidR="00455E9A" w:rsidRPr="00315089" w:rsidRDefault="00455E9A" w:rsidP="00455E9A">
      <w:pPr>
        <w:pStyle w:val="Heading3"/>
        <w:numPr>
          <w:ilvl w:val="0"/>
          <w:numId w:val="10"/>
        </w:numPr>
        <w:rPr>
          <w:rFonts w:cs="Times"/>
          <w:color w:val="auto"/>
        </w:rPr>
      </w:pPr>
      <w:bookmarkStart w:id="45" w:name="_Toc411860413"/>
      <w:r>
        <w:rPr>
          <w:rFonts w:cs="Times"/>
          <w:color w:val="auto"/>
        </w:rPr>
        <w:t>Evidence of Omar Kalair</w:t>
      </w:r>
      <w:bookmarkEnd w:id="45"/>
      <w:r>
        <w:rPr>
          <w:rFonts w:cs="Times"/>
          <w:color w:val="auto"/>
        </w:rPr>
        <w:t xml:space="preserve"> </w:t>
      </w:r>
    </w:p>
    <w:p w14:paraId="00E2C936" w14:textId="301975C8" w:rsidR="00BB4BEB" w:rsidRDefault="00455E9A" w:rsidP="00455E9A">
      <w:pPr>
        <w:pStyle w:val="Heading4"/>
        <w:ind w:firstLine="720"/>
        <w:rPr>
          <w:color w:val="auto"/>
        </w:rPr>
      </w:pPr>
      <w:bookmarkStart w:id="46" w:name="_Toc411860414"/>
      <w:r w:rsidRPr="00315089">
        <w:rPr>
          <w:color w:val="auto"/>
        </w:rPr>
        <w:t>Background</w:t>
      </w:r>
      <w:bookmarkEnd w:id="46"/>
    </w:p>
    <w:p w14:paraId="320AF32F" w14:textId="77777777" w:rsidR="00455E9A" w:rsidRPr="00455E9A" w:rsidRDefault="00455E9A" w:rsidP="00455E9A"/>
    <w:p w14:paraId="52654CC2" w14:textId="056E1F49"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sidRPr="00455E9A">
        <w:rPr>
          <w:rFonts w:ascii="Times Roman" w:hAnsi="Times Roman"/>
        </w:rPr>
        <w:t>Mr. Kalair received both a Bachelor in Business Economics and a graduate degree in business administration from Wilfred Laurier University.</w:t>
      </w:r>
      <w:r w:rsidRPr="00455E9A">
        <w:rPr>
          <w:rStyle w:val="FootnoteReference"/>
          <w:rFonts w:ascii="Times Roman" w:hAnsi="Times Roman"/>
        </w:rPr>
        <w:footnoteReference w:id="149"/>
      </w:r>
      <w:r w:rsidRPr="00455E9A">
        <w:rPr>
          <w:rFonts w:ascii="Times Roman" w:hAnsi="Times Roman"/>
        </w:rPr>
        <w:t xml:space="preserve"> His commitment to the Canadian Islamic Community began as a student. He was a member of the Muslim Student Association and helped in the creation of the University’s first prayer room. Once he graduated, he regularly attended at Muslim community events and spent time with various Islamic scholars, including Mr. Panchbhaya.</w:t>
      </w:r>
      <w:r w:rsidRPr="00455E9A">
        <w:rPr>
          <w:rStyle w:val="FootnoteReference"/>
          <w:rFonts w:ascii="Times Roman" w:hAnsi="Times Roman"/>
        </w:rPr>
        <w:footnoteReference w:id="150"/>
      </w:r>
      <w:r w:rsidRPr="00455E9A">
        <w:rPr>
          <w:rFonts w:ascii="Times Roman" w:hAnsi="Times Roman"/>
        </w:rPr>
        <w:t xml:space="preserve"> Mr. Kalair has known Mr. </w:t>
      </w:r>
      <w:r w:rsidRPr="00455E9A">
        <w:rPr>
          <w:rFonts w:ascii="Times Roman" w:hAnsi="Times Roman"/>
        </w:rPr>
        <w:lastRenderedPageBreak/>
        <w:t>Panchbhaya since he was ten years old. At that age, he was attending at Mr. Panchbhaya’s home for religious education, otherwise referred to as “Sunday school”.</w:t>
      </w:r>
      <w:r w:rsidRPr="00455E9A">
        <w:rPr>
          <w:rStyle w:val="FootnoteReference"/>
          <w:rFonts w:ascii="Times Roman" w:hAnsi="Times Roman"/>
        </w:rPr>
        <w:footnoteReference w:id="151"/>
      </w:r>
    </w:p>
    <w:p w14:paraId="133E7CEE" w14:textId="0DD8ACAB"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When Mr. Kalair was around twenty-five years old, he became a Director of a Canadian charitable organization by the name Miftahul Uloom of Canada, which had a goal of “adding value to the Muslim community</w:t>
      </w:r>
      <w:r w:rsidR="005144A7">
        <w:rPr>
          <w:rFonts w:ascii="Times Roman" w:hAnsi="Times Roman"/>
        </w:rPr>
        <w:t>”</w:t>
      </w:r>
      <w:r w:rsidRPr="00455E9A">
        <w:rPr>
          <w:rFonts w:ascii="Times Roman" w:hAnsi="Times Roman"/>
        </w:rPr>
        <w:t>.</w:t>
      </w:r>
      <w:r w:rsidRPr="00455E9A">
        <w:rPr>
          <w:rStyle w:val="FootnoteReference"/>
          <w:rFonts w:ascii="Times Roman" w:hAnsi="Times Roman"/>
        </w:rPr>
        <w:footnoteReference w:id="152"/>
      </w:r>
      <w:r w:rsidRPr="00455E9A">
        <w:rPr>
          <w:rFonts w:ascii="Times Roman" w:hAnsi="Times Roman"/>
        </w:rPr>
        <w:t xml:space="preserve"> The charity began by starting the first Islamic radio show, but was ultimately responsible for the organization of many community events during the years 2000-2004. During such time, Mr. Kalair and Mr. Panchbhaya worked closely.</w:t>
      </w:r>
      <w:r w:rsidRPr="00455E9A">
        <w:rPr>
          <w:rStyle w:val="FootnoteReference"/>
          <w:rFonts w:ascii="Times Roman" w:hAnsi="Times Roman"/>
        </w:rPr>
        <w:footnoteReference w:id="153"/>
      </w:r>
      <w:r w:rsidRPr="00455E9A">
        <w:rPr>
          <w:rFonts w:ascii="Times Roman" w:hAnsi="Times Roman"/>
        </w:rPr>
        <w:t xml:space="preserve"> It was actually under the name of this charity that Mr. Kalair and Mr. Panchbhaya had their first meeting with Central 1, known at that time as CUCO.</w:t>
      </w:r>
      <w:r w:rsidRPr="00455E9A">
        <w:rPr>
          <w:rStyle w:val="FootnoteReference"/>
          <w:rFonts w:ascii="Times Roman" w:hAnsi="Times Roman"/>
        </w:rPr>
        <w:footnoteReference w:id="154"/>
      </w:r>
      <w:r w:rsidRPr="00455E9A">
        <w:rPr>
          <w:rFonts w:ascii="Times Roman" w:hAnsi="Times Roman"/>
        </w:rPr>
        <w:t xml:space="preserve">  They explained to the credit union the huge untapped market of Muslim Canadians who were seeking sharia-compliant home financing.</w:t>
      </w:r>
      <w:r w:rsidRPr="00455E9A">
        <w:rPr>
          <w:rStyle w:val="FootnoteReference"/>
          <w:rFonts w:ascii="Times Roman" w:hAnsi="Times Roman"/>
        </w:rPr>
        <w:footnoteReference w:id="155"/>
      </w:r>
      <w:r w:rsidRPr="00455E9A">
        <w:rPr>
          <w:rFonts w:ascii="Times Roman" w:hAnsi="Times Roman"/>
        </w:rPr>
        <w:t xml:space="preserve"> </w:t>
      </w:r>
    </w:p>
    <w:p w14:paraId="5F4B70C1" w14:textId="4C64D97D"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In the early 2000s, there was visible growth in the field of Islamic finance in both the United States and the United Kingdom.</w:t>
      </w:r>
      <w:r w:rsidRPr="00455E9A">
        <w:rPr>
          <w:rStyle w:val="FootnoteReference"/>
          <w:rFonts w:ascii="Times Roman" w:hAnsi="Times Roman"/>
        </w:rPr>
        <w:footnoteReference w:id="156"/>
      </w:r>
      <w:r w:rsidRPr="00455E9A">
        <w:rPr>
          <w:rFonts w:ascii="Times Roman" w:hAnsi="Times Roman"/>
        </w:rPr>
        <w:t xml:space="preserve"> Mr. Kalair looked to the business models used by his international counterparts to come up with a business plan that he could present to the credit union. The intention was to embark on the business venture in the capacity of a non-profit. The goals were not monetary at the time but rather to provide a valued service to the Muslim community in Canada. </w:t>
      </w:r>
    </w:p>
    <w:p w14:paraId="6C318217" w14:textId="1466D85A"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CUCO assigned their new product development manager, Mr. Lohmueller, to work directly with UM. Mr. Kalair and his team explained to Mr. Lohmueller the various models of Islamic home finance.</w:t>
      </w:r>
      <w:r w:rsidRPr="00455E9A">
        <w:rPr>
          <w:rStyle w:val="FootnoteReference"/>
          <w:rFonts w:ascii="Times Roman" w:hAnsi="Times Roman"/>
        </w:rPr>
        <w:footnoteReference w:id="157"/>
      </w:r>
      <w:r w:rsidRPr="00455E9A">
        <w:rPr>
          <w:rFonts w:ascii="Times Roman" w:hAnsi="Times Roman"/>
        </w:rPr>
        <w:t xml:space="preserve"> </w:t>
      </w:r>
      <w:r w:rsidR="005144A7">
        <w:rPr>
          <w:rFonts w:ascii="Times Roman" w:hAnsi="Times Roman"/>
        </w:rPr>
        <w:t>According to Kalair M</w:t>
      </w:r>
      <w:r w:rsidRPr="00455E9A">
        <w:rPr>
          <w:rFonts w:ascii="Times Roman" w:hAnsi="Times Roman"/>
        </w:rPr>
        <w:t>r. Lohmueller was himself an immigrant</w:t>
      </w:r>
      <w:r w:rsidR="005144A7">
        <w:rPr>
          <w:rFonts w:ascii="Times Roman" w:hAnsi="Times Roman"/>
        </w:rPr>
        <w:t xml:space="preserve"> open to a new approach</w:t>
      </w:r>
      <w:r w:rsidRPr="00455E9A">
        <w:rPr>
          <w:rFonts w:ascii="Times Roman" w:hAnsi="Times Roman"/>
        </w:rPr>
        <w:t xml:space="preserve"> because he felt that “credit unions are here to be more involved in the community”</w:t>
      </w:r>
      <w:r w:rsidR="005144A7">
        <w:rPr>
          <w:rFonts w:ascii="Times Roman" w:hAnsi="Times Roman"/>
        </w:rPr>
        <w:t>.</w:t>
      </w:r>
      <w:r w:rsidRPr="00455E9A">
        <w:rPr>
          <w:rStyle w:val="FootnoteReference"/>
          <w:rFonts w:ascii="Times Roman" w:hAnsi="Times Roman"/>
        </w:rPr>
        <w:footnoteReference w:id="158"/>
      </w:r>
      <w:r w:rsidRPr="00455E9A">
        <w:rPr>
          <w:rFonts w:ascii="Times Roman" w:hAnsi="Times Roman"/>
        </w:rPr>
        <w:t xml:space="preserve"> </w:t>
      </w:r>
      <w:r w:rsidR="005144A7">
        <w:rPr>
          <w:rFonts w:ascii="Times Roman" w:hAnsi="Times Roman"/>
        </w:rPr>
        <w:t xml:space="preserve">Kalair believed that Lohmueller </w:t>
      </w:r>
      <w:r w:rsidRPr="00455E9A">
        <w:rPr>
          <w:rFonts w:ascii="Times Roman" w:hAnsi="Times Roman"/>
        </w:rPr>
        <w:t xml:space="preserve">did his own research on </w:t>
      </w:r>
      <w:r w:rsidRPr="00455E9A">
        <w:rPr>
          <w:rFonts w:ascii="Times Roman" w:hAnsi="Times Roman"/>
        </w:rPr>
        <w:lastRenderedPageBreak/>
        <w:t>Islamic finance and championed the product internally.</w:t>
      </w:r>
      <w:r w:rsidRPr="00455E9A">
        <w:rPr>
          <w:rStyle w:val="FootnoteReference"/>
          <w:rFonts w:ascii="Times Roman" w:hAnsi="Times Roman"/>
        </w:rPr>
        <w:footnoteReference w:id="159"/>
      </w:r>
      <w:r w:rsidRPr="00455E9A">
        <w:rPr>
          <w:rFonts w:ascii="Times Roman" w:hAnsi="Times Roman"/>
        </w:rPr>
        <w:t xml:space="preserve"> It was Mr. Lohmueller who signed the CUCO letter that defines the relationship between UM and CUCO as being based on a Mudarabah and the relationship between UM and the homeowners as being based on a Musharakah. This same letter was posted to the UM website and shared with potential clients.</w:t>
      </w:r>
      <w:r w:rsidRPr="00455E9A">
        <w:rPr>
          <w:rStyle w:val="FootnoteReference"/>
          <w:rFonts w:ascii="Times Roman" w:hAnsi="Times Roman"/>
        </w:rPr>
        <w:footnoteReference w:id="160"/>
      </w:r>
      <w:r w:rsidRPr="00455E9A">
        <w:rPr>
          <w:rFonts w:ascii="Times Roman" w:hAnsi="Times Roman"/>
        </w:rPr>
        <w:t xml:space="preserve"> </w:t>
      </w:r>
    </w:p>
    <w:p w14:paraId="5A5A4FBD" w14:textId="7192476C"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 xml:space="preserve">CUCO advised that due to market regulations, they could not develop their own Islamic home finance product. Instead, they suggested that UM </w:t>
      </w:r>
      <w:r w:rsidR="00326563">
        <w:rPr>
          <w:rFonts w:ascii="Times Roman" w:hAnsi="Times Roman"/>
        </w:rPr>
        <w:t>acquire</w:t>
      </w:r>
      <w:r w:rsidRPr="00455E9A">
        <w:rPr>
          <w:rFonts w:ascii="Times Roman" w:hAnsi="Times Roman"/>
        </w:rPr>
        <w:t xml:space="preserve"> from the CUCO commercial division and create the product themselves.</w:t>
      </w:r>
      <w:r w:rsidRPr="00455E9A">
        <w:rPr>
          <w:rStyle w:val="FootnoteReference"/>
          <w:rFonts w:ascii="Times Roman" w:hAnsi="Times Roman"/>
        </w:rPr>
        <w:footnoteReference w:id="161"/>
      </w:r>
      <w:r w:rsidRPr="00455E9A">
        <w:rPr>
          <w:rFonts w:ascii="Times Roman" w:hAnsi="Times Roman"/>
        </w:rPr>
        <w:t xml:space="preserve"> It was at CUCOs request that UM incorporate.</w:t>
      </w:r>
      <w:r w:rsidRPr="00455E9A">
        <w:rPr>
          <w:rStyle w:val="FootnoteReference"/>
          <w:rFonts w:ascii="Times Roman" w:hAnsi="Times Roman"/>
        </w:rPr>
        <w:footnoteReference w:id="162"/>
      </w:r>
      <w:r w:rsidRPr="00455E9A">
        <w:rPr>
          <w:rFonts w:ascii="Times Roman" w:hAnsi="Times Roman"/>
        </w:rPr>
        <w:t xml:space="preserve"> Such was the birth of UM.</w:t>
      </w:r>
      <w:r w:rsidRPr="00455E9A">
        <w:rPr>
          <w:rStyle w:val="FootnoteReference"/>
          <w:rFonts w:ascii="Times Roman" w:hAnsi="Times Roman"/>
        </w:rPr>
        <w:footnoteReference w:id="163"/>
      </w:r>
    </w:p>
    <w:p w14:paraId="55B1EA37" w14:textId="77777777" w:rsidR="00455E9A" w:rsidRPr="00455E9A" w:rsidRDefault="00455E9A" w:rsidP="00455E9A">
      <w:pPr>
        <w:pStyle w:val="Heading4"/>
        <w:ind w:firstLine="720"/>
        <w:rPr>
          <w:color w:val="auto"/>
        </w:rPr>
      </w:pPr>
      <w:bookmarkStart w:id="47" w:name="_Toc411860415"/>
      <w:r w:rsidRPr="00455E9A">
        <w:rPr>
          <w:color w:val="auto"/>
        </w:rPr>
        <w:t>The SEB and their Fatwas</w:t>
      </w:r>
      <w:bookmarkEnd w:id="47"/>
      <w:r w:rsidRPr="00455E9A">
        <w:rPr>
          <w:color w:val="auto"/>
        </w:rPr>
        <w:t xml:space="preserve"> </w:t>
      </w:r>
    </w:p>
    <w:p w14:paraId="257310AE" w14:textId="77777777" w:rsidR="00455E9A" w:rsidRPr="00455E9A" w:rsidRDefault="00455E9A" w:rsidP="00455E9A">
      <w:pPr>
        <w:rPr>
          <w:rFonts w:ascii="Times Roman" w:hAnsi="Times Roman"/>
        </w:rPr>
      </w:pPr>
    </w:p>
    <w:p w14:paraId="4A53AEBD" w14:textId="7FCA673B"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It was at this time that UM looked to form an independent SEB who could approve of the business relationship between CUCO and UM.</w:t>
      </w:r>
      <w:r w:rsidRPr="00455E9A">
        <w:rPr>
          <w:rStyle w:val="FootnoteReference"/>
          <w:rFonts w:ascii="Times Roman" w:hAnsi="Times Roman"/>
        </w:rPr>
        <w:footnoteReference w:id="164"/>
      </w:r>
      <w:r w:rsidRPr="00455E9A">
        <w:rPr>
          <w:rFonts w:ascii="Times Roman" w:hAnsi="Times Roman"/>
        </w:rPr>
        <w:t xml:space="preserve"> Ultimately, UM had to be Sharia compliant on both the front end (relationship with homeowners) and the back end (relationship with CUCO).</w:t>
      </w:r>
      <w:r w:rsidRPr="00455E9A">
        <w:rPr>
          <w:rStyle w:val="FootnoteReference"/>
          <w:rFonts w:ascii="Times Roman" w:hAnsi="Times Roman"/>
        </w:rPr>
        <w:footnoteReference w:id="165"/>
      </w:r>
      <w:r w:rsidRPr="00455E9A">
        <w:rPr>
          <w:rFonts w:ascii="Times Roman" w:hAnsi="Times Roman"/>
        </w:rPr>
        <w:t xml:space="preserve">  UM reached out to various Islamic scholars, including the most well known scholar internationally, Mufti Taqi Usmani. </w:t>
      </w:r>
      <w:r w:rsidR="005144A7">
        <w:rPr>
          <w:rFonts w:ascii="Times Roman" w:hAnsi="Times Roman"/>
        </w:rPr>
        <w:t>According to Kalair i</w:t>
      </w:r>
      <w:r w:rsidRPr="00455E9A">
        <w:rPr>
          <w:rFonts w:ascii="Times Roman" w:hAnsi="Times Roman"/>
        </w:rPr>
        <w:t>t was Mufti Usmani who suggested that UM make Mr. Panchbhaya the Chairman of their SEB.</w:t>
      </w:r>
      <w:r w:rsidRPr="00455E9A">
        <w:rPr>
          <w:rStyle w:val="FootnoteReference"/>
          <w:rFonts w:ascii="Times Roman" w:hAnsi="Times Roman"/>
        </w:rPr>
        <w:footnoteReference w:id="166"/>
      </w:r>
      <w:r w:rsidRPr="00455E9A">
        <w:rPr>
          <w:rFonts w:ascii="Times Roman" w:hAnsi="Times Roman"/>
        </w:rPr>
        <w:t xml:space="preserve"> Mr. Panchbhaya and Mufti Usman </w:t>
      </w:r>
      <w:r w:rsidR="008177DC">
        <w:rPr>
          <w:rFonts w:ascii="Times Roman" w:hAnsi="Times Roman"/>
        </w:rPr>
        <w:t xml:space="preserve">Patel </w:t>
      </w:r>
      <w:r w:rsidRPr="00455E9A">
        <w:rPr>
          <w:rFonts w:ascii="Times Roman" w:hAnsi="Times Roman"/>
        </w:rPr>
        <w:t xml:space="preserve">were the only two Muftis in the Canadian Muslim community who were giving consistent fatwas. Both Muftis agreed to work for the SEB. </w:t>
      </w:r>
      <w:r w:rsidRPr="00455E9A">
        <w:rPr>
          <w:rStyle w:val="FootnoteReference"/>
          <w:rFonts w:ascii="Times Roman" w:hAnsi="Times Roman"/>
        </w:rPr>
        <w:footnoteReference w:id="167"/>
      </w:r>
      <w:r w:rsidRPr="00455E9A">
        <w:rPr>
          <w:rFonts w:ascii="Times Roman" w:hAnsi="Times Roman"/>
        </w:rPr>
        <w:t xml:space="preserve"> </w:t>
      </w:r>
    </w:p>
    <w:p w14:paraId="07636619" w14:textId="77777777"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The SEB met on many occasions as is evidenced by the various meeting minutes filed as exhibits.</w:t>
      </w:r>
      <w:r w:rsidRPr="00455E9A">
        <w:rPr>
          <w:rStyle w:val="FootnoteReference"/>
          <w:rFonts w:ascii="Times Roman" w:hAnsi="Times Roman"/>
        </w:rPr>
        <w:footnoteReference w:id="168"/>
      </w:r>
      <w:r w:rsidRPr="00455E9A">
        <w:rPr>
          <w:rFonts w:ascii="Times Roman" w:hAnsi="Times Roman"/>
        </w:rPr>
        <w:t xml:space="preserve">  The SEB requested that UM management send them monthly reports so that they could stay informed of what was happening with the business. They also </w:t>
      </w:r>
      <w:r w:rsidRPr="00455E9A">
        <w:rPr>
          <w:rFonts w:ascii="Times Roman" w:hAnsi="Times Roman"/>
        </w:rPr>
        <w:lastRenderedPageBreak/>
        <w:t>reviewed the draft commitment letters, otherwise referred to as the Mudarabah documents, on a line-by-line basis to ensure that every detail was Sharia compliant.</w:t>
      </w:r>
      <w:r w:rsidRPr="00455E9A">
        <w:rPr>
          <w:rStyle w:val="FootnoteReference"/>
          <w:rFonts w:ascii="Times Roman" w:hAnsi="Times Roman"/>
        </w:rPr>
        <w:footnoteReference w:id="169"/>
      </w:r>
      <w:r w:rsidRPr="00455E9A">
        <w:rPr>
          <w:rFonts w:ascii="Times Roman" w:hAnsi="Times Roman"/>
        </w:rPr>
        <w:t xml:space="preserve"> Changes, comments or questions of the SEB would be canvassed with Mr. Lohmueller of CUCO and the commitment letters would be edited to reflect those discussions. In fact, on some occasions, Mr. Lohmueller met with members of the SEB directly.</w:t>
      </w:r>
      <w:r w:rsidRPr="00455E9A">
        <w:rPr>
          <w:rStyle w:val="FootnoteReference"/>
          <w:rFonts w:ascii="Times Roman" w:hAnsi="Times Roman"/>
        </w:rPr>
        <w:footnoteReference w:id="170"/>
      </w:r>
    </w:p>
    <w:p w14:paraId="0B5093F8" w14:textId="77777777"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Exhibit 56 shows these handwritten changes to the proposed contract, varying the language to ensure Sharia compliancy. These changes would have been penciled in by Mr. Kalair on the advice of the SEB, communicated to Mr. Lohmueller and ultimately, adopted into the final contracts.</w:t>
      </w:r>
      <w:r w:rsidRPr="00455E9A">
        <w:rPr>
          <w:rStyle w:val="FootnoteReference"/>
          <w:rFonts w:ascii="Times Roman" w:hAnsi="Times Roman"/>
        </w:rPr>
        <w:footnoteReference w:id="171"/>
      </w:r>
      <w:r w:rsidRPr="00455E9A">
        <w:rPr>
          <w:rFonts w:ascii="Times Roman" w:hAnsi="Times Roman"/>
        </w:rPr>
        <w:t xml:space="preserve"> Although Mr. Lohmueller was generally agreeable to these changes, CUCO’s regulating body did not permit the explicit use of Islamic terminology.</w:t>
      </w:r>
      <w:r w:rsidRPr="00455E9A">
        <w:rPr>
          <w:rStyle w:val="FootnoteReference"/>
          <w:rFonts w:ascii="Times Roman" w:hAnsi="Times Roman"/>
        </w:rPr>
        <w:footnoteReference w:id="172"/>
      </w:r>
      <w:r w:rsidRPr="00455E9A">
        <w:rPr>
          <w:rFonts w:ascii="Times Roman" w:hAnsi="Times Roman"/>
        </w:rPr>
        <w:t xml:space="preserve"> This is why the term “Mudarabah” is not found anywhere in the contracts. </w:t>
      </w:r>
    </w:p>
    <w:p w14:paraId="2D493E21" w14:textId="1EC9674F"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The SEB was paid for their travel expenses up</w:t>
      </w:r>
      <w:r w:rsidR="005144A7">
        <w:rPr>
          <w:rFonts w:ascii="Times Roman" w:hAnsi="Times Roman"/>
        </w:rPr>
        <w:t xml:space="preserve"> </w:t>
      </w:r>
      <w:r w:rsidRPr="00455E9A">
        <w:rPr>
          <w:rFonts w:ascii="Times Roman" w:hAnsi="Times Roman"/>
        </w:rPr>
        <w:t>front, but in recognizing that UM was a start up with little to no capital, they</w:t>
      </w:r>
      <w:r w:rsidR="005144A7">
        <w:rPr>
          <w:rFonts w:ascii="Times Roman" w:hAnsi="Times Roman"/>
        </w:rPr>
        <w:t xml:space="preserve"> </w:t>
      </w:r>
      <w:r w:rsidRPr="00455E9A">
        <w:rPr>
          <w:rFonts w:ascii="Times Roman" w:hAnsi="Times Roman"/>
        </w:rPr>
        <w:t xml:space="preserve">agreed </w:t>
      </w:r>
      <w:r w:rsidR="005144A7">
        <w:rPr>
          <w:rFonts w:ascii="Times Roman" w:hAnsi="Times Roman"/>
        </w:rPr>
        <w:t xml:space="preserve">to a deferral of market-rate payment </w:t>
      </w:r>
      <w:r w:rsidRPr="00455E9A">
        <w:rPr>
          <w:rFonts w:ascii="Times Roman" w:hAnsi="Times Roman"/>
        </w:rPr>
        <w:t>that</w:t>
      </w:r>
      <w:r w:rsidR="005144A7">
        <w:rPr>
          <w:rFonts w:ascii="Times Roman" w:hAnsi="Times Roman"/>
        </w:rPr>
        <w:t xml:space="preserve"> would eventually be paid</w:t>
      </w:r>
      <w:r w:rsidRPr="00455E9A">
        <w:rPr>
          <w:rFonts w:ascii="Times Roman" w:hAnsi="Times Roman"/>
        </w:rPr>
        <w:t xml:space="preserve"> for their expertise.</w:t>
      </w:r>
      <w:r w:rsidRPr="00455E9A">
        <w:rPr>
          <w:rStyle w:val="FootnoteReference"/>
          <w:rFonts w:ascii="Times Roman" w:hAnsi="Times Roman"/>
        </w:rPr>
        <w:footnoteReference w:id="173"/>
      </w:r>
    </w:p>
    <w:p w14:paraId="6DE131D5" w14:textId="3E3A107D"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 xml:space="preserve">The SEB </w:t>
      </w:r>
      <w:r w:rsidR="00A73B9B">
        <w:rPr>
          <w:rFonts w:ascii="Times Roman" w:hAnsi="Times Roman"/>
        </w:rPr>
        <w:t>issued</w:t>
      </w:r>
      <w:r w:rsidRPr="00455E9A">
        <w:rPr>
          <w:rFonts w:ascii="Times Roman" w:hAnsi="Times Roman"/>
        </w:rPr>
        <w:t xml:space="preserve"> </w:t>
      </w:r>
      <w:r w:rsidR="00A73B9B">
        <w:rPr>
          <w:rFonts w:ascii="Times Roman" w:hAnsi="Times Roman"/>
        </w:rPr>
        <w:t>five</w:t>
      </w:r>
      <w:r w:rsidRPr="00455E9A">
        <w:rPr>
          <w:rFonts w:ascii="Times Roman" w:hAnsi="Times Roman"/>
        </w:rPr>
        <w:t xml:space="preserve"> fatwas.</w:t>
      </w:r>
      <w:r w:rsidRPr="00455E9A">
        <w:rPr>
          <w:rStyle w:val="FootnoteReference"/>
          <w:rFonts w:ascii="Times Roman" w:hAnsi="Times Roman"/>
        </w:rPr>
        <w:footnoteReference w:id="174"/>
      </w:r>
      <w:r w:rsidRPr="00455E9A">
        <w:rPr>
          <w:rFonts w:ascii="Times Roman" w:hAnsi="Times Roman"/>
        </w:rPr>
        <w:t xml:space="preserve"> The first was signed in January of 2005, after the SEB had a chance to review the documents that were to govern the relationship between UM and Central and UM and the homeowners. This fatwa confirmed that the relationship between CUCO and UM was a Mudarabah and UM intended to use the fatwa as a marketing tool, as it signalled to the community the legitimacy of the product.</w:t>
      </w:r>
      <w:r w:rsidRPr="00455E9A">
        <w:rPr>
          <w:rStyle w:val="FootnoteReference"/>
          <w:rFonts w:ascii="Times Roman" w:hAnsi="Times Roman"/>
        </w:rPr>
        <w:footnoteReference w:id="175"/>
      </w:r>
    </w:p>
    <w:p w14:paraId="73419AE8" w14:textId="77777777"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UM and CUCO agreed to share the profits at a 97/3 profit ratio, whereby UM received 3% for managing the CUCO funds.</w:t>
      </w:r>
      <w:r w:rsidRPr="00455E9A">
        <w:rPr>
          <w:rStyle w:val="FootnoteReference"/>
          <w:rFonts w:ascii="Times Roman" w:hAnsi="Times Roman"/>
        </w:rPr>
        <w:footnoteReference w:id="176"/>
      </w:r>
      <w:r w:rsidRPr="00455E9A">
        <w:rPr>
          <w:rFonts w:ascii="Times Roman" w:hAnsi="Times Roman"/>
        </w:rPr>
        <w:t xml:space="preserve"> There is also an explicit reference in the fatwa that “UMF will share any loss, if they are negligent or dishonest”.</w:t>
      </w:r>
      <w:r w:rsidRPr="00455E9A">
        <w:rPr>
          <w:rStyle w:val="FootnoteReference"/>
          <w:rFonts w:ascii="Times Roman" w:hAnsi="Times Roman"/>
        </w:rPr>
        <w:footnoteReference w:id="177"/>
      </w:r>
      <w:r w:rsidRPr="00455E9A">
        <w:rPr>
          <w:rFonts w:ascii="Times Roman" w:hAnsi="Times Roman"/>
        </w:rPr>
        <w:t xml:space="preserve"> This statement </w:t>
      </w:r>
      <w:r w:rsidRPr="00455E9A">
        <w:rPr>
          <w:rFonts w:ascii="Times Roman" w:hAnsi="Times Roman"/>
        </w:rPr>
        <w:lastRenderedPageBreak/>
        <w:t>is in accordance with the traditional rules of a Mudarabah and as a consequence, according to the fatwa, should loss occur in the absence of negligence or dishonesty, it is CUCO who should suffer that loss.</w:t>
      </w:r>
      <w:r w:rsidRPr="00455E9A">
        <w:rPr>
          <w:rStyle w:val="FootnoteReference"/>
          <w:rFonts w:ascii="Times Roman" w:hAnsi="Times Roman"/>
        </w:rPr>
        <w:footnoteReference w:id="178"/>
      </w:r>
    </w:p>
    <w:p w14:paraId="36E0B117" w14:textId="77777777"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 xml:space="preserve">Based on the language used in this fatwa and on his understanding of the rules of Islamic finance, Mr. Kalair believed that: </w:t>
      </w:r>
    </w:p>
    <w:p w14:paraId="64F68E1A" w14:textId="77777777" w:rsidR="00455E9A" w:rsidRPr="00455E9A" w:rsidRDefault="00455E9A" w:rsidP="00455E9A">
      <w:pPr>
        <w:pStyle w:val="ListParagraph"/>
        <w:jc w:val="both"/>
        <w:rPr>
          <w:rFonts w:ascii="Times Roman" w:hAnsi="Times Roman"/>
        </w:rPr>
      </w:pPr>
      <w:r w:rsidRPr="00455E9A">
        <w:rPr>
          <w:rFonts w:ascii="Times Roman" w:hAnsi="Times Roman"/>
        </w:rPr>
        <w:t>“We would never be in a situation where we would go negative. So this is where when people say a, a mudarib, which was UM Financial went into bankruptcy, it's not conceivable from a Sharia aspect because a, a mudarib can never go into bankruptcy because it's simply acting as an agent and, and it doesn't expose itself to any sort of creditor's risk”</w:t>
      </w:r>
      <w:r w:rsidRPr="00455E9A">
        <w:rPr>
          <w:rStyle w:val="FootnoteReference"/>
          <w:rFonts w:ascii="Times Roman" w:hAnsi="Times Roman"/>
        </w:rPr>
        <w:footnoteReference w:id="179"/>
      </w:r>
    </w:p>
    <w:p w14:paraId="61B677F9" w14:textId="77777777" w:rsidR="00455E9A" w:rsidRPr="00455E9A" w:rsidRDefault="00455E9A" w:rsidP="00455E9A">
      <w:pPr>
        <w:shd w:val="clear" w:color="auto" w:fill="FFFFFF"/>
        <w:spacing w:after="120" w:line="360" w:lineRule="auto"/>
        <w:jc w:val="both"/>
        <w:rPr>
          <w:rFonts w:ascii="Times Roman" w:hAnsi="Times Roman"/>
        </w:rPr>
      </w:pPr>
    </w:p>
    <w:p w14:paraId="2AC4EB92" w14:textId="05365F59" w:rsid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 xml:space="preserve">In keeping in line with the rules of Islamic Finance, the SEB also wanted to ensure that UM could not penalize a homeowner for missing a payment. As such, if UM did not receive a monthly payment from a homeowner, they would still be required to remit the monthly payment to CUCO. </w:t>
      </w:r>
      <w:r w:rsidRPr="00455E9A">
        <w:rPr>
          <w:rStyle w:val="FootnoteReference"/>
          <w:rFonts w:ascii="Times Roman" w:hAnsi="Times Roman"/>
        </w:rPr>
        <w:footnoteReference w:id="180"/>
      </w:r>
      <w:r w:rsidRPr="00455E9A">
        <w:rPr>
          <w:rFonts w:ascii="Times Roman" w:hAnsi="Times Roman"/>
        </w:rPr>
        <w:t xml:space="preserve"> The payment would come directly out of UM’s pocket. UM did not miss a monthly payment in seven years.  They made their payments right up to the date of the receivership.</w:t>
      </w:r>
      <w:r w:rsidRPr="00455E9A">
        <w:rPr>
          <w:rStyle w:val="FootnoteReference"/>
          <w:rFonts w:ascii="Times Roman" w:hAnsi="Times Roman"/>
        </w:rPr>
        <w:footnoteReference w:id="181"/>
      </w:r>
      <w:r w:rsidRPr="00455E9A">
        <w:rPr>
          <w:rFonts w:ascii="Times Roman" w:hAnsi="Times Roman"/>
        </w:rPr>
        <w:t xml:space="preserve"> </w:t>
      </w:r>
      <w:r w:rsidR="00A73B9B">
        <w:rPr>
          <w:rFonts w:ascii="Times Roman" w:hAnsi="Times Roman"/>
        </w:rPr>
        <w:t>This was not disputed by Sacco, Thompson nor Paul Coort, the Crown’s forensic accountant.</w:t>
      </w:r>
    </w:p>
    <w:p w14:paraId="3F044C28" w14:textId="77777777" w:rsidR="00ED61BD" w:rsidRPr="00ED61BD" w:rsidRDefault="00ED61BD" w:rsidP="00ED61BD">
      <w:pPr>
        <w:pStyle w:val="ListParagraph"/>
        <w:shd w:val="clear" w:color="auto" w:fill="FFFFFF"/>
        <w:spacing w:after="120" w:line="360" w:lineRule="auto"/>
        <w:ind w:left="0"/>
        <w:contextualSpacing w:val="0"/>
        <w:jc w:val="both"/>
        <w:rPr>
          <w:rFonts w:ascii="Times Roman" w:hAnsi="Times Roman"/>
        </w:rPr>
      </w:pPr>
    </w:p>
    <w:p w14:paraId="5F8DFBE8" w14:textId="77777777" w:rsidR="00455E9A" w:rsidRPr="00ED61BD" w:rsidRDefault="00455E9A" w:rsidP="00ED61BD">
      <w:pPr>
        <w:pStyle w:val="Heading4"/>
        <w:ind w:firstLine="720"/>
        <w:rPr>
          <w:rStyle w:val="SubtleEmphasis"/>
          <w:i/>
          <w:iCs/>
          <w:color w:val="auto"/>
        </w:rPr>
      </w:pPr>
      <w:bookmarkStart w:id="48" w:name="_Toc411860416"/>
      <w:r w:rsidRPr="00ED61BD">
        <w:rPr>
          <w:rStyle w:val="SubtleEmphasis"/>
          <w:i/>
          <w:iCs/>
          <w:color w:val="auto"/>
        </w:rPr>
        <w:t>SEB Fines</w:t>
      </w:r>
      <w:bookmarkEnd w:id="48"/>
    </w:p>
    <w:p w14:paraId="6505D223" w14:textId="77777777" w:rsidR="00455E9A" w:rsidRPr="00455E9A" w:rsidRDefault="00455E9A" w:rsidP="00455E9A">
      <w:pPr>
        <w:rPr>
          <w:rFonts w:ascii="Times Roman" w:hAnsi="Times Roman"/>
        </w:rPr>
      </w:pPr>
    </w:p>
    <w:p w14:paraId="2B5B8745" w14:textId="6FB94EB2"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According to section 17 of the Musharakah agreements, if the homeowner was unhappy about a decision made by UM, they were entitled to mediate or arbitrate that decision through the SEB. In total, there were approximately seven incidents where the SEB directed UM to pay the homeowner between $3,000.00 and $7,000.00, depending on the grievance.</w:t>
      </w:r>
      <w:r w:rsidRPr="00455E9A">
        <w:rPr>
          <w:rStyle w:val="FootnoteReference"/>
          <w:rFonts w:ascii="Times Roman" w:hAnsi="Times Roman"/>
        </w:rPr>
        <w:footnoteReference w:id="182"/>
      </w:r>
      <w:r w:rsidRPr="00455E9A">
        <w:rPr>
          <w:rFonts w:ascii="Times Roman" w:hAnsi="Times Roman"/>
        </w:rPr>
        <w:t xml:space="preserve"> It was UM’s auditors that referred to these payments as “fines”.</w:t>
      </w:r>
      <w:r w:rsidRPr="00455E9A">
        <w:rPr>
          <w:rStyle w:val="FootnoteReference"/>
          <w:rFonts w:ascii="Times Roman" w:hAnsi="Times Roman"/>
        </w:rPr>
        <w:footnoteReference w:id="183"/>
      </w:r>
      <w:r w:rsidRPr="00455E9A">
        <w:rPr>
          <w:rFonts w:ascii="Times Roman" w:hAnsi="Times Roman"/>
        </w:rPr>
        <w:t xml:space="preserve"> Mr. </w:t>
      </w:r>
      <w:r w:rsidRPr="00455E9A">
        <w:rPr>
          <w:rFonts w:ascii="Times Roman" w:hAnsi="Times Roman"/>
        </w:rPr>
        <w:lastRenderedPageBreak/>
        <w:t xml:space="preserve">Kalair explained this “fine” process to the receiver when they attended the UM offices on October 7, 2011. </w:t>
      </w:r>
      <w:r w:rsidR="00A73B9B">
        <w:rPr>
          <w:rFonts w:ascii="Times Roman" w:hAnsi="Times Roman"/>
        </w:rPr>
        <w:t>Kalair belived t</w:t>
      </w:r>
      <w:r w:rsidRPr="00455E9A">
        <w:rPr>
          <w:rFonts w:ascii="Times Roman" w:hAnsi="Times Roman"/>
        </w:rPr>
        <w:t xml:space="preserve">he receiver misunderstood this to mean that the only role of the SEB was to impose fines and therefore, that the </w:t>
      </w:r>
      <w:r w:rsidR="00A73B9B">
        <w:rPr>
          <w:rFonts w:ascii="Times Roman" w:hAnsi="Times Roman"/>
        </w:rPr>
        <w:t>$</w:t>
      </w:r>
      <w:r w:rsidRPr="00455E9A">
        <w:rPr>
          <w:rFonts w:ascii="Times Roman" w:hAnsi="Times Roman"/>
        </w:rPr>
        <w:t>2.1 million payment would be to pay them for same. However, Mr. Kalair was explaining only one role of the SEB</w:t>
      </w:r>
      <w:r w:rsidRPr="00455E9A">
        <w:rPr>
          <w:rStyle w:val="FootnoteReference"/>
          <w:rFonts w:ascii="Times Roman" w:hAnsi="Times Roman"/>
        </w:rPr>
        <w:footnoteReference w:id="184"/>
      </w:r>
      <w:r w:rsidRPr="00455E9A">
        <w:rPr>
          <w:rFonts w:ascii="Times Roman" w:hAnsi="Times Roman"/>
        </w:rPr>
        <w:t>:</w:t>
      </w:r>
    </w:p>
    <w:p w14:paraId="716133E3" w14:textId="6A4EB7FA" w:rsidR="00455E9A" w:rsidRPr="00455E9A" w:rsidRDefault="00455E9A" w:rsidP="00455E9A">
      <w:pPr>
        <w:pStyle w:val="ListParagraph"/>
        <w:shd w:val="clear" w:color="auto" w:fill="FFFFFF"/>
        <w:spacing w:after="120" w:line="360" w:lineRule="auto"/>
        <w:contextualSpacing w:val="0"/>
        <w:jc w:val="both"/>
        <w:rPr>
          <w:rFonts w:ascii="Times Roman" w:hAnsi="Times Roman"/>
        </w:rPr>
      </w:pPr>
      <w:r w:rsidRPr="00455E9A">
        <w:rPr>
          <w:rFonts w:ascii="Times Roman" w:hAnsi="Times Roman"/>
        </w:rPr>
        <w:t>So in that discussions, there's three members there so sometimes the other members from Grant Thornton would ask the questions and we got a lot into this detail. I think from that they misunderstood that the 2.1 million was to pay fines. It wasn't to pay fines, it was for their fees for their seven years of work. And I told them this, is that the Sharia Board worked for seven years and they weren't paid and this was a payment towards that.</w:t>
      </w:r>
      <w:r w:rsidRPr="00455E9A">
        <w:rPr>
          <w:rStyle w:val="FootnoteReference"/>
          <w:rFonts w:ascii="Times Roman" w:hAnsi="Times Roman"/>
        </w:rPr>
        <w:footnoteReference w:id="185"/>
      </w:r>
      <w:r w:rsidRPr="00455E9A">
        <w:rPr>
          <w:rFonts w:ascii="Times Roman" w:hAnsi="Times Roman"/>
        </w:rPr>
        <w:t xml:space="preserve">  </w:t>
      </w:r>
    </w:p>
    <w:p w14:paraId="391072CB" w14:textId="77777777"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Mr. Kalair is adamant that at all times he indicated to the receiver that the 2.1 million owed to the SEB was for unpaid fees.</w:t>
      </w:r>
      <w:r w:rsidRPr="00455E9A">
        <w:rPr>
          <w:rStyle w:val="FootnoteReference"/>
          <w:rFonts w:ascii="Times Roman" w:hAnsi="Times Roman"/>
        </w:rPr>
        <w:footnoteReference w:id="186"/>
      </w:r>
      <w:r w:rsidRPr="00455E9A">
        <w:rPr>
          <w:rFonts w:ascii="Times Roman" w:hAnsi="Times Roman"/>
        </w:rPr>
        <w:t xml:space="preserve"> </w:t>
      </w:r>
    </w:p>
    <w:p w14:paraId="47109BCE" w14:textId="77777777" w:rsidR="00455E9A" w:rsidRPr="00455E9A" w:rsidRDefault="00455E9A" w:rsidP="00455E9A">
      <w:pPr>
        <w:pStyle w:val="ListParagraph"/>
        <w:shd w:val="clear" w:color="auto" w:fill="FFFFFF"/>
        <w:spacing w:after="120" w:line="360" w:lineRule="auto"/>
        <w:ind w:left="0"/>
        <w:contextualSpacing w:val="0"/>
        <w:jc w:val="both"/>
        <w:rPr>
          <w:rFonts w:ascii="Times Roman" w:hAnsi="Times Roman"/>
        </w:rPr>
      </w:pPr>
    </w:p>
    <w:p w14:paraId="6336014E" w14:textId="77777777" w:rsidR="00455E9A" w:rsidRPr="00ED61BD" w:rsidRDefault="00455E9A" w:rsidP="00ED61BD">
      <w:pPr>
        <w:pStyle w:val="Heading4"/>
        <w:ind w:firstLine="720"/>
        <w:rPr>
          <w:color w:val="auto"/>
        </w:rPr>
      </w:pPr>
      <w:bookmarkStart w:id="49" w:name="_Toc411860417"/>
      <w:r w:rsidRPr="00ED61BD">
        <w:rPr>
          <w:color w:val="auto"/>
        </w:rPr>
        <w:t>The Contracts</w:t>
      </w:r>
      <w:bookmarkEnd w:id="49"/>
    </w:p>
    <w:p w14:paraId="29DCF484" w14:textId="77777777" w:rsidR="00455E9A" w:rsidRPr="00455E9A" w:rsidRDefault="00455E9A" w:rsidP="00455E9A">
      <w:pPr>
        <w:rPr>
          <w:rFonts w:ascii="Times Roman" w:hAnsi="Times Roman"/>
        </w:rPr>
      </w:pPr>
    </w:p>
    <w:p w14:paraId="1C9D2401" w14:textId="77777777"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Mr. Kalair explained his understanding of the provisions of the contracts. His understanding would have been informed by his discussions with the SEB and his discussions with CUCO and specifically, Mr. Lohmueller. When asked about the provision of the MMASA relating to expenses, Mr. Kalair replied:</w:t>
      </w:r>
    </w:p>
    <w:p w14:paraId="537AE8BE" w14:textId="77777777" w:rsidR="00455E9A" w:rsidRPr="00455E9A" w:rsidRDefault="00455E9A" w:rsidP="00455E9A">
      <w:pPr>
        <w:pStyle w:val="ListParagraph"/>
        <w:rPr>
          <w:rFonts w:ascii="Times Roman" w:hAnsi="Times Roman"/>
        </w:rPr>
      </w:pPr>
      <w:r w:rsidRPr="00455E9A">
        <w:rPr>
          <w:rFonts w:ascii="Times Roman" w:hAnsi="Times Roman"/>
        </w:rPr>
        <w:t xml:space="preserve">Yeah, so this was a point that came up with our Sharia Board that, yes, we're agreeing on the profits but obviously the profits are only calculated after expenses are deducted. So the wanted to see an explicit mention where expenses UM could deduct before it gave funds back to the credit union. So this was a clause that we showed… So from that the Sharia Board concluded, yes, we're agreeing to the profits and obviously the expenses the credit union is agreeing in this letter or in this document that it would be deducted before giving it to them. </w:t>
      </w:r>
      <w:r w:rsidRPr="00455E9A">
        <w:rPr>
          <w:rStyle w:val="FootnoteReference"/>
          <w:rFonts w:ascii="Times Roman" w:hAnsi="Times Roman"/>
        </w:rPr>
        <w:footnoteReference w:id="187"/>
      </w:r>
    </w:p>
    <w:p w14:paraId="2D3FAB93" w14:textId="77777777" w:rsidR="00455E9A" w:rsidRPr="00455E9A" w:rsidRDefault="00455E9A" w:rsidP="00455E9A">
      <w:pPr>
        <w:pStyle w:val="ListParagraph"/>
        <w:rPr>
          <w:rFonts w:ascii="Times Roman" w:hAnsi="Times Roman"/>
        </w:rPr>
      </w:pPr>
    </w:p>
    <w:p w14:paraId="7EA5E51D" w14:textId="36B550BF"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lastRenderedPageBreak/>
        <w:t>With respect to any pre-payment received from a homeowner, Mr. Kalair’s understanding was again, based on the rules of a Mudarabah.  According to him, and corroborated by the expert in Islamic Finance, the prepayment funds belong to the silent partner (Central), who has given UM the authority to use those funds for expenses related to their business.</w:t>
      </w:r>
      <w:r w:rsidRPr="00455E9A">
        <w:rPr>
          <w:rStyle w:val="FootnoteReference"/>
          <w:rFonts w:ascii="Times Roman" w:hAnsi="Times Roman"/>
        </w:rPr>
        <w:footnoteReference w:id="188"/>
      </w:r>
      <w:r w:rsidRPr="00455E9A">
        <w:rPr>
          <w:rFonts w:ascii="Times Roman" w:hAnsi="Times Roman"/>
        </w:rPr>
        <w:t xml:space="preserve"> </w:t>
      </w:r>
      <w:r w:rsidR="00A73B9B">
        <w:rPr>
          <w:rFonts w:ascii="Times Roman" w:hAnsi="Times Roman"/>
        </w:rPr>
        <w:t>T</w:t>
      </w:r>
      <w:r w:rsidRPr="00455E9A">
        <w:rPr>
          <w:rFonts w:ascii="Times Roman" w:hAnsi="Times Roman"/>
        </w:rPr>
        <w:t xml:space="preserve">hese prepayments </w:t>
      </w:r>
      <w:r w:rsidR="00A73B9B">
        <w:rPr>
          <w:rFonts w:ascii="Times Roman" w:hAnsi="Times Roman"/>
        </w:rPr>
        <w:t>reside with</w:t>
      </w:r>
      <w:r w:rsidRPr="00455E9A">
        <w:rPr>
          <w:rFonts w:ascii="Times Roman" w:hAnsi="Times Roman"/>
        </w:rPr>
        <w:t xml:space="preserve"> UM until </w:t>
      </w:r>
      <w:r w:rsidR="00A73B9B">
        <w:rPr>
          <w:rFonts w:ascii="Times Roman" w:hAnsi="Times Roman"/>
        </w:rPr>
        <w:t>a</w:t>
      </w:r>
      <w:r w:rsidRPr="00455E9A">
        <w:rPr>
          <w:rFonts w:ascii="Times Roman" w:hAnsi="Times Roman"/>
        </w:rPr>
        <w:t xml:space="preserve"> mortgage is paid off completely.</w:t>
      </w:r>
      <w:r w:rsidRPr="00455E9A">
        <w:rPr>
          <w:rStyle w:val="FootnoteReference"/>
          <w:rFonts w:ascii="Times Roman" w:hAnsi="Times Roman"/>
        </w:rPr>
        <w:footnoteReference w:id="189"/>
      </w:r>
      <w:r w:rsidRPr="00455E9A">
        <w:rPr>
          <w:rFonts w:ascii="Times Roman" w:hAnsi="Times Roman"/>
        </w:rPr>
        <w:t xml:space="preserve"> </w:t>
      </w:r>
    </w:p>
    <w:p w14:paraId="3D538B03" w14:textId="77777777" w:rsidR="00455E9A" w:rsidRPr="00455E9A" w:rsidRDefault="00455E9A" w:rsidP="00455E9A">
      <w:pPr>
        <w:pStyle w:val="ListParagraph"/>
        <w:shd w:val="clear" w:color="auto" w:fill="FFFFFF"/>
        <w:spacing w:after="120" w:line="360" w:lineRule="auto"/>
        <w:ind w:left="0"/>
        <w:contextualSpacing w:val="0"/>
        <w:jc w:val="both"/>
        <w:rPr>
          <w:rFonts w:ascii="Times Roman" w:hAnsi="Times Roman"/>
        </w:rPr>
      </w:pPr>
    </w:p>
    <w:p w14:paraId="4908C722" w14:textId="77777777" w:rsidR="00455E9A" w:rsidRPr="00455E9A" w:rsidRDefault="00455E9A" w:rsidP="00455E9A">
      <w:pPr>
        <w:pStyle w:val="Heading4"/>
        <w:ind w:firstLine="720"/>
        <w:rPr>
          <w:rFonts w:ascii="Times Roman" w:hAnsi="Times Roman"/>
          <w:color w:val="auto"/>
        </w:rPr>
      </w:pPr>
      <w:bookmarkStart w:id="50" w:name="_Toc411860418"/>
      <w:r w:rsidRPr="00455E9A">
        <w:rPr>
          <w:rFonts w:ascii="Times Roman" w:hAnsi="Times Roman"/>
          <w:color w:val="auto"/>
        </w:rPr>
        <w:t>The Road to Receivership</w:t>
      </w:r>
      <w:bookmarkEnd w:id="50"/>
      <w:r w:rsidRPr="00455E9A">
        <w:rPr>
          <w:rFonts w:ascii="Times Roman" w:hAnsi="Times Roman"/>
          <w:color w:val="auto"/>
        </w:rPr>
        <w:t xml:space="preserve"> </w:t>
      </w:r>
    </w:p>
    <w:p w14:paraId="70CC4368" w14:textId="77777777" w:rsidR="00455E9A" w:rsidRPr="00455E9A" w:rsidRDefault="00455E9A" w:rsidP="00455E9A">
      <w:pPr>
        <w:rPr>
          <w:rFonts w:ascii="Times Roman" w:hAnsi="Times Roman"/>
        </w:rPr>
      </w:pPr>
    </w:p>
    <w:p w14:paraId="6742E7BD" w14:textId="5473CD1D" w:rsidR="00455E9A" w:rsidRPr="00455E9A" w:rsidRDefault="00455E9A" w:rsidP="00455E9A">
      <w:pPr>
        <w:pStyle w:val="ListParagraph"/>
        <w:numPr>
          <w:ilvl w:val="0"/>
          <w:numId w:val="1"/>
        </w:numPr>
        <w:shd w:val="clear" w:color="auto" w:fill="FFFFFF"/>
        <w:spacing w:after="120" w:line="360" w:lineRule="auto"/>
        <w:ind w:left="0" w:firstLine="0"/>
        <w:contextualSpacing w:val="0"/>
        <w:jc w:val="both"/>
        <w:rPr>
          <w:rFonts w:ascii="Times Roman" w:hAnsi="Times Roman"/>
        </w:rPr>
      </w:pPr>
      <w:r w:rsidRPr="00455E9A">
        <w:rPr>
          <w:rFonts w:ascii="Times Roman" w:hAnsi="Times Roman"/>
        </w:rPr>
        <w:t>UM grew to the point where they had as many as 20 employees and 8 offices at one given time.</w:t>
      </w:r>
      <w:r w:rsidRPr="00455E9A">
        <w:rPr>
          <w:rStyle w:val="FootnoteReference"/>
          <w:rFonts w:ascii="Times Roman" w:hAnsi="Times Roman"/>
        </w:rPr>
        <w:footnoteReference w:id="190"/>
      </w:r>
      <w:r w:rsidRPr="00455E9A">
        <w:rPr>
          <w:rFonts w:ascii="Times Roman" w:hAnsi="Times Roman"/>
        </w:rPr>
        <w:t xml:space="preserve"> Both UM and Central 1 were profitable. Millions of dollars were advanced by CUCO and hundreds of Muslim Canadians had Sharia compliant mortgages. Then the credit crisis hit. CUCO blamed the credit crisis when they reneged on the </w:t>
      </w:r>
      <w:r w:rsidR="00A73B9B">
        <w:rPr>
          <w:rFonts w:ascii="Times Roman" w:hAnsi="Times Roman"/>
        </w:rPr>
        <w:t>$</w:t>
      </w:r>
      <w:r w:rsidRPr="00455E9A">
        <w:rPr>
          <w:rFonts w:ascii="Times Roman" w:hAnsi="Times Roman"/>
        </w:rPr>
        <w:t>49 million dollar commitment letter that was issued by Mr. Lohmueller in 2007 before he left CUCO. Without that additional funding from CUCO, UM was unable to finance any additional homeowners and their profit was limited to existing clientele.</w:t>
      </w:r>
      <w:r w:rsidRPr="00455E9A">
        <w:rPr>
          <w:rStyle w:val="FootnoteReference"/>
          <w:rFonts w:ascii="Times Roman" w:hAnsi="Times Roman"/>
        </w:rPr>
        <w:footnoteReference w:id="191"/>
      </w:r>
      <w:r w:rsidRPr="00455E9A">
        <w:rPr>
          <w:rFonts w:ascii="Times Roman" w:hAnsi="Times Roman"/>
        </w:rPr>
        <w:t xml:space="preserve"> </w:t>
      </w:r>
    </w:p>
    <w:p w14:paraId="0CC11A5A" w14:textId="7777777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With the departure of Mr. Lohmueller, UM no longer had a senior point person at Central 1. Ms. Sacco became the point of contact. The profit model changed when Ms. Sacco came on board, and although Mr. Kalair was assured that UM would be receiving 20 basis points per mortgage, it wasn’t until his bank account was empty and he hired an auditor that he realized that CUCO was taking 100% of the profits on most of their mortgage files.</w:t>
      </w:r>
      <w:r w:rsidRPr="00455E9A">
        <w:rPr>
          <w:rStyle w:val="FootnoteReference"/>
          <w:rFonts w:ascii="Times Roman" w:hAnsi="Times Roman"/>
        </w:rPr>
        <w:footnoteReference w:id="192"/>
      </w:r>
      <w:r w:rsidRPr="00455E9A">
        <w:rPr>
          <w:rFonts w:ascii="Times Roman" w:hAnsi="Times Roman"/>
        </w:rPr>
        <w:t xml:space="preserve">  UM was only being paid on two tranches of eleven.</w:t>
      </w:r>
      <w:r w:rsidRPr="00455E9A">
        <w:rPr>
          <w:rStyle w:val="FootnoteReference"/>
          <w:rFonts w:ascii="Times Roman" w:hAnsi="Times Roman"/>
        </w:rPr>
        <w:footnoteReference w:id="193"/>
      </w:r>
      <w:r w:rsidRPr="00455E9A">
        <w:rPr>
          <w:rFonts w:ascii="Times Roman" w:hAnsi="Times Roman"/>
        </w:rPr>
        <w:t xml:space="preserve">  </w:t>
      </w:r>
    </w:p>
    <w:p w14:paraId="671C9641" w14:textId="0669D949"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 xml:space="preserve">Over the years, UM would find itself in a position where it was forced to take a loss (a power of sale for example), and because a Mudarabah does not permit the </w:t>
      </w:r>
      <w:r w:rsidRPr="00455E9A">
        <w:rPr>
          <w:rFonts w:ascii="Times Roman" w:hAnsi="Times Roman"/>
        </w:rPr>
        <w:lastRenderedPageBreak/>
        <w:t>Mudarib to take a loss, UM would look to CUCO to find a solution</w:t>
      </w:r>
      <w:r w:rsidRPr="00455E9A">
        <w:rPr>
          <w:rStyle w:val="FootnoteReference"/>
          <w:rFonts w:ascii="Times Roman" w:hAnsi="Times Roman"/>
        </w:rPr>
        <w:footnoteReference w:id="194"/>
      </w:r>
      <w:r w:rsidRPr="00455E9A">
        <w:rPr>
          <w:rFonts w:ascii="Times Roman" w:hAnsi="Times Roman"/>
        </w:rPr>
        <w:t>. Mr. Kalair even offered to put up his home to keep the contracts sharia compliant</w:t>
      </w:r>
      <w:r w:rsidRPr="00455E9A">
        <w:rPr>
          <w:rStyle w:val="FootnoteReference"/>
          <w:rFonts w:ascii="Times Roman" w:hAnsi="Times Roman"/>
        </w:rPr>
        <w:footnoteReference w:id="195"/>
      </w:r>
      <w:r w:rsidRPr="00455E9A">
        <w:rPr>
          <w:rFonts w:ascii="Times Roman" w:hAnsi="Times Roman"/>
        </w:rPr>
        <w:t xml:space="preserve">. </w:t>
      </w:r>
      <w:r w:rsidR="00A73B9B">
        <w:rPr>
          <w:rFonts w:ascii="Times Roman" w:hAnsi="Times Roman"/>
        </w:rPr>
        <w:t>This extraordinary proposal greatly undermines the allegation that Kalair was behaving in a deceitful or dishonest manner, putting the homeowners at risk of deprivation. On the contrary, it was Kalair himself who was assuming great personal risk in order to protect the sharia integrity of a homeowner in arrears. C1, as a regulated financial body, was unable to accept Kalair’s proposal but instead settled on a reduction in UM’s profit margins for a one-year period.</w:t>
      </w:r>
      <w:r w:rsidRPr="00455E9A">
        <w:rPr>
          <w:rStyle w:val="FootnoteReference"/>
          <w:rFonts w:ascii="Times Roman" w:hAnsi="Times Roman"/>
        </w:rPr>
        <w:footnoteReference w:id="196"/>
      </w:r>
    </w:p>
    <w:p w14:paraId="4EBD3838" w14:textId="6CCA04FC"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 xml:space="preserve">It was on occasions similar to this one that Mr. Kalair had to discuss the unique facets of the Mudarabah with senior CUCO staff. He </w:t>
      </w:r>
      <w:r w:rsidR="00A73B9B">
        <w:rPr>
          <w:rFonts w:ascii="Times Roman" w:hAnsi="Times Roman"/>
        </w:rPr>
        <w:t xml:space="preserve">reasonably </w:t>
      </w:r>
      <w:r w:rsidRPr="00455E9A">
        <w:rPr>
          <w:rFonts w:ascii="Times Roman" w:hAnsi="Times Roman"/>
        </w:rPr>
        <w:t>believe</w:t>
      </w:r>
      <w:r w:rsidR="00A73B9B">
        <w:rPr>
          <w:rFonts w:ascii="Times Roman" w:hAnsi="Times Roman"/>
        </w:rPr>
        <w:t xml:space="preserve">d </w:t>
      </w:r>
      <w:r w:rsidRPr="00455E9A">
        <w:rPr>
          <w:rFonts w:ascii="Times Roman" w:hAnsi="Times Roman"/>
        </w:rPr>
        <w:t xml:space="preserve">that these discussions reinforced the </w:t>
      </w:r>
      <w:r w:rsidR="00A73B9B">
        <w:rPr>
          <w:rFonts w:ascii="Times Roman" w:hAnsi="Times Roman"/>
        </w:rPr>
        <w:t>understanding</w:t>
      </w:r>
      <w:r w:rsidRPr="00455E9A">
        <w:rPr>
          <w:rFonts w:ascii="Times Roman" w:hAnsi="Times Roman"/>
        </w:rPr>
        <w:t xml:space="preserve"> that all parties </w:t>
      </w:r>
      <w:r w:rsidR="00A73B9B">
        <w:rPr>
          <w:rFonts w:ascii="Times Roman" w:hAnsi="Times Roman"/>
        </w:rPr>
        <w:t>w</w:t>
      </w:r>
      <w:r w:rsidRPr="00455E9A">
        <w:rPr>
          <w:rFonts w:ascii="Times Roman" w:hAnsi="Times Roman"/>
        </w:rPr>
        <w:t>ere operating under a Mudarabah</w:t>
      </w:r>
      <w:r w:rsidR="00A73B9B">
        <w:rPr>
          <w:rFonts w:ascii="Times Roman" w:hAnsi="Times Roman"/>
        </w:rPr>
        <w:t>, subject to principles of Islamic Finance</w:t>
      </w:r>
      <w:r w:rsidRPr="00455E9A">
        <w:rPr>
          <w:rFonts w:ascii="Times Roman" w:hAnsi="Times Roman"/>
        </w:rPr>
        <w:t xml:space="preserve">. </w:t>
      </w:r>
    </w:p>
    <w:p w14:paraId="4C2298CE" w14:textId="770B4031"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When Central finally terminated the relationship with UM in 2010, Mr. Kalair’s main priority, which he communicated endlessly to Central, was to keep the mortgages Sharia compliant.</w:t>
      </w:r>
      <w:r w:rsidRPr="00455E9A">
        <w:rPr>
          <w:rStyle w:val="FootnoteReference"/>
          <w:rFonts w:ascii="Times Roman" w:hAnsi="Times Roman"/>
        </w:rPr>
        <w:footnoteReference w:id="197"/>
      </w:r>
      <w:r w:rsidRPr="00455E9A">
        <w:rPr>
          <w:rFonts w:ascii="Times Roman" w:hAnsi="Times Roman"/>
        </w:rPr>
        <w:t xml:space="preserve">  UM could now not take on any more clients and also could not renew the contracts of their </w:t>
      </w:r>
      <w:r w:rsidR="00A73B9B">
        <w:rPr>
          <w:rFonts w:ascii="Times Roman" w:hAnsi="Times Roman"/>
        </w:rPr>
        <w:t>existing</w:t>
      </w:r>
      <w:r w:rsidRPr="00455E9A">
        <w:rPr>
          <w:rFonts w:ascii="Times Roman" w:hAnsi="Times Roman"/>
        </w:rPr>
        <w:t xml:space="preserve"> clients. They were in a stalemate and things were </w:t>
      </w:r>
      <w:r w:rsidR="00A73B9B" w:rsidRPr="00455E9A">
        <w:rPr>
          <w:rFonts w:ascii="Times Roman" w:hAnsi="Times Roman"/>
        </w:rPr>
        <w:t>becoming</w:t>
      </w:r>
      <w:r w:rsidRPr="00455E9A">
        <w:rPr>
          <w:rFonts w:ascii="Times Roman" w:hAnsi="Times Roman"/>
        </w:rPr>
        <w:t xml:space="preserve"> increasing</w:t>
      </w:r>
      <w:r w:rsidR="00A73B9B">
        <w:rPr>
          <w:rFonts w:ascii="Times Roman" w:hAnsi="Times Roman"/>
        </w:rPr>
        <w:t>ly</w:t>
      </w:r>
      <w:r w:rsidRPr="00455E9A">
        <w:rPr>
          <w:rFonts w:ascii="Times Roman" w:hAnsi="Times Roman"/>
        </w:rPr>
        <w:t xml:space="preserve"> chaotic. Nothing is more demonstrative of the state of disarray than Mr. Kalair’s admission that once his COO resigned, there was no one left to replace him than the intern, Mr. Anwar Pathan.</w:t>
      </w:r>
      <w:r w:rsidRPr="00455E9A">
        <w:rPr>
          <w:rStyle w:val="FootnoteReference"/>
          <w:rFonts w:ascii="Times Roman" w:hAnsi="Times Roman"/>
        </w:rPr>
        <w:footnoteReference w:id="198"/>
      </w:r>
      <w:r w:rsidRPr="00455E9A">
        <w:rPr>
          <w:rFonts w:ascii="Times Roman" w:hAnsi="Times Roman"/>
        </w:rPr>
        <w:t xml:space="preserve">  </w:t>
      </w:r>
    </w:p>
    <w:p w14:paraId="664CF638" w14:textId="3DDA3408"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Mr. Kalair was spending every waking hour attempting to find an alternative funder</w:t>
      </w:r>
      <w:r w:rsidR="006C3996">
        <w:rPr>
          <w:rFonts w:ascii="Times Roman" w:hAnsi="Times Roman"/>
        </w:rPr>
        <w:t xml:space="preserve"> </w:t>
      </w:r>
      <w:r w:rsidRPr="00455E9A">
        <w:rPr>
          <w:rFonts w:ascii="Times Roman" w:hAnsi="Times Roman"/>
        </w:rPr>
        <w:t>to replace Central.</w:t>
      </w:r>
      <w:r w:rsidRPr="00455E9A">
        <w:rPr>
          <w:rStyle w:val="FootnoteReference"/>
          <w:rFonts w:ascii="Times Roman" w:hAnsi="Times Roman"/>
        </w:rPr>
        <w:footnoteReference w:id="199"/>
      </w:r>
      <w:r w:rsidRPr="00455E9A">
        <w:rPr>
          <w:rFonts w:ascii="Times Roman" w:hAnsi="Times Roman"/>
        </w:rPr>
        <w:t xml:space="preserve">  During this time, the homeowner’s contracts were up for renewal and homeowners were eager to renew </w:t>
      </w:r>
      <w:r w:rsidR="006C3996">
        <w:rPr>
          <w:rFonts w:ascii="Times Roman" w:hAnsi="Times Roman"/>
        </w:rPr>
        <w:t>in an era of</w:t>
      </w:r>
      <w:r w:rsidRPr="00455E9A">
        <w:rPr>
          <w:rFonts w:ascii="Times Roman" w:hAnsi="Times Roman"/>
        </w:rPr>
        <w:t xml:space="preserve"> declining interest rates</w:t>
      </w:r>
      <w:r w:rsidR="006C3996">
        <w:rPr>
          <w:rFonts w:ascii="Times Roman" w:hAnsi="Times Roman"/>
        </w:rPr>
        <w:t xml:space="preserve"> yet no refinancing was available. </w:t>
      </w:r>
      <w:r w:rsidRPr="00455E9A">
        <w:rPr>
          <w:rFonts w:ascii="Times Roman" w:hAnsi="Times Roman"/>
        </w:rPr>
        <w:t>The homeowners continued to make their monthly payments and UM continued to forward those payments to Central.</w:t>
      </w:r>
      <w:r w:rsidRPr="00455E9A">
        <w:rPr>
          <w:rStyle w:val="FootnoteReference"/>
          <w:rFonts w:ascii="Times Roman" w:hAnsi="Times Roman"/>
        </w:rPr>
        <w:footnoteReference w:id="200"/>
      </w:r>
      <w:r w:rsidRPr="00455E9A">
        <w:rPr>
          <w:rFonts w:ascii="Times Roman" w:hAnsi="Times Roman"/>
        </w:rPr>
        <w:t xml:space="preserve">  Although some exit deals </w:t>
      </w:r>
      <w:r w:rsidRPr="00455E9A">
        <w:rPr>
          <w:rFonts w:ascii="Times Roman" w:hAnsi="Times Roman"/>
        </w:rPr>
        <w:lastRenderedPageBreak/>
        <w:t xml:space="preserve">were being contemplated and shared with Central, UM received the final </w:t>
      </w:r>
      <w:r w:rsidR="006C3996">
        <w:rPr>
          <w:rFonts w:ascii="Times Roman" w:hAnsi="Times Roman"/>
        </w:rPr>
        <w:t>“</w:t>
      </w:r>
      <w:r w:rsidRPr="00455E9A">
        <w:rPr>
          <w:rFonts w:ascii="Times Roman" w:hAnsi="Times Roman"/>
        </w:rPr>
        <w:t>dagger</w:t>
      </w:r>
      <w:r w:rsidR="006C3996">
        <w:rPr>
          <w:rFonts w:ascii="Times Roman" w:hAnsi="Times Roman"/>
        </w:rPr>
        <w:t>” in its heart</w:t>
      </w:r>
      <w:r w:rsidRPr="00455E9A">
        <w:rPr>
          <w:rFonts w:ascii="Times Roman" w:hAnsi="Times Roman"/>
        </w:rPr>
        <w:t xml:space="preserve"> when </w:t>
      </w:r>
      <w:r w:rsidR="006C3996">
        <w:rPr>
          <w:rFonts w:ascii="Times Roman" w:hAnsi="Times Roman"/>
        </w:rPr>
        <w:t>it</w:t>
      </w:r>
      <w:r w:rsidRPr="00455E9A">
        <w:rPr>
          <w:rFonts w:ascii="Times Roman" w:hAnsi="Times Roman"/>
        </w:rPr>
        <w:t xml:space="preserve"> received the formal Notice of Receivership.</w:t>
      </w:r>
      <w:r w:rsidRPr="00455E9A">
        <w:rPr>
          <w:rStyle w:val="FootnoteReference"/>
          <w:rFonts w:ascii="Times Roman" w:hAnsi="Times Roman"/>
        </w:rPr>
        <w:footnoteReference w:id="201"/>
      </w:r>
      <w:r w:rsidRPr="00455E9A">
        <w:rPr>
          <w:rFonts w:ascii="Times Roman" w:hAnsi="Times Roman"/>
        </w:rPr>
        <w:t xml:space="preserve">  After UM received the notice</w:t>
      </w:r>
      <w:r w:rsidRPr="00455E9A">
        <w:rPr>
          <w:rStyle w:val="FootnoteReference"/>
          <w:rFonts w:ascii="Times Roman" w:hAnsi="Times Roman"/>
        </w:rPr>
        <w:footnoteReference w:id="202"/>
      </w:r>
      <w:r w:rsidRPr="00455E9A">
        <w:rPr>
          <w:rFonts w:ascii="Times Roman" w:hAnsi="Times Roman"/>
        </w:rPr>
        <w:t>, they retained counsel to formally respond to Central and essentially begged for Central’s reconsideration.</w:t>
      </w:r>
      <w:r w:rsidRPr="00455E9A">
        <w:rPr>
          <w:rStyle w:val="FootnoteReference"/>
          <w:rFonts w:ascii="Times Roman" w:hAnsi="Times Roman"/>
        </w:rPr>
        <w:footnoteReference w:id="203"/>
      </w:r>
      <w:r w:rsidRPr="00455E9A">
        <w:rPr>
          <w:rFonts w:ascii="Times Roman" w:hAnsi="Times Roman"/>
        </w:rPr>
        <w:t xml:space="preserve">  Shortly after, UM filed their 50 million dollar lawsuit</w:t>
      </w:r>
      <w:r w:rsidRPr="00455E9A">
        <w:rPr>
          <w:rStyle w:val="FootnoteReference"/>
          <w:rFonts w:ascii="Times Roman" w:hAnsi="Times Roman"/>
        </w:rPr>
        <w:footnoteReference w:id="204"/>
      </w:r>
      <w:r w:rsidRPr="00455E9A">
        <w:rPr>
          <w:rFonts w:ascii="Times Roman" w:hAnsi="Times Roman"/>
        </w:rPr>
        <w:t>:</w:t>
      </w:r>
    </w:p>
    <w:p w14:paraId="318EA4F3"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Yeah, yeah, we – after we had our notices given, then we said is that we've been quiet in terms of taking legal action against Central, so now that, you know, they brought out their dagger, you know, we, we did what we were legally entitled to, is that to quantify our grievances and file it in court.</w:t>
      </w:r>
    </w:p>
    <w:p w14:paraId="485AD99D" w14:textId="5506D276" w:rsidR="00455E9A" w:rsidRPr="00455E9A" w:rsidRDefault="006C3996" w:rsidP="00455E9A">
      <w:pPr>
        <w:pStyle w:val="ListParagraph"/>
        <w:numPr>
          <w:ilvl w:val="0"/>
          <w:numId w:val="1"/>
        </w:numPr>
        <w:shd w:val="clear" w:color="auto" w:fill="FFFFFF"/>
        <w:spacing w:after="120" w:line="360" w:lineRule="auto"/>
        <w:ind w:left="0" w:firstLine="0"/>
        <w:jc w:val="both"/>
        <w:rPr>
          <w:rFonts w:ascii="Times Roman" w:hAnsi="Times Roman"/>
        </w:rPr>
      </w:pPr>
      <w:r>
        <w:rPr>
          <w:rFonts w:ascii="Times Roman" w:hAnsi="Times Roman"/>
        </w:rPr>
        <w:t>Meanwhile, t</w:t>
      </w:r>
      <w:r w:rsidR="00455E9A" w:rsidRPr="00455E9A">
        <w:rPr>
          <w:rFonts w:ascii="Times Roman" w:hAnsi="Times Roman"/>
        </w:rPr>
        <w:t>he main concern of the SEB was</w:t>
      </w:r>
      <w:r>
        <w:rPr>
          <w:rFonts w:ascii="Times Roman" w:hAnsi="Times Roman"/>
        </w:rPr>
        <w:t xml:space="preserve"> with the absence of sharia compliancy for the contracts they had worked so diligently to develop in a post-receivership environment.</w:t>
      </w:r>
      <w:r w:rsidR="00455E9A" w:rsidRPr="00455E9A">
        <w:rPr>
          <w:rStyle w:val="FootnoteReference"/>
          <w:rFonts w:ascii="Times Roman" w:hAnsi="Times Roman"/>
        </w:rPr>
        <w:footnoteReference w:id="205"/>
      </w:r>
      <w:r w:rsidR="00455E9A" w:rsidRPr="00455E9A">
        <w:rPr>
          <w:rFonts w:ascii="Times Roman" w:hAnsi="Times Roman"/>
        </w:rPr>
        <w:t xml:space="preserve">  </w:t>
      </w:r>
    </w:p>
    <w:p w14:paraId="605B45FB"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2898A83E" w14:textId="77777777" w:rsidR="00455E9A" w:rsidRPr="00EC1E4F" w:rsidRDefault="00455E9A" w:rsidP="00EC1E4F">
      <w:pPr>
        <w:pStyle w:val="Heading4"/>
        <w:ind w:firstLine="720"/>
        <w:rPr>
          <w:color w:val="auto"/>
        </w:rPr>
      </w:pPr>
      <w:bookmarkStart w:id="51" w:name="_Toc411860419"/>
      <w:r w:rsidRPr="00EC1E4F">
        <w:rPr>
          <w:color w:val="auto"/>
        </w:rPr>
        <w:t>Romspen</w:t>
      </w:r>
      <w:bookmarkEnd w:id="51"/>
    </w:p>
    <w:p w14:paraId="037B283F" w14:textId="77777777" w:rsidR="00455E9A" w:rsidRPr="00455E9A" w:rsidRDefault="00455E9A" w:rsidP="00455E9A">
      <w:pPr>
        <w:rPr>
          <w:rFonts w:ascii="Times Roman" w:hAnsi="Times Roman"/>
        </w:rPr>
      </w:pPr>
    </w:p>
    <w:p w14:paraId="26C3A492" w14:textId="7777777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 xml:space="preserve">Although the Romspen commitment letters are on their face traditional financial contracts with traditional financial terminology, Mr. Thomas explained that with the right supplemental documents, a traditional contract becomes Sharia compliant. </w:t>
      </w:r>
    </w:p>
    <w:p w14:paraId="3A8D4AE8" w14:textId="7AA9100A"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When Mr. Kalair was shopping around for an alternative funder, he found that p</w:t>
      </w:r>
      <w:r w:rsidR="006C3996">
        <w:rPr>
          <w:rFonts w:ascii="Times Roman" w:hAnsi="Times Roman"/>
        </w:rPr>
        <w:t>rospective</w:t>
      </w:r>
      <w:r w:rsidRPr="00455E9A">
        <w:rPr>
          <w:rFonts w:ascii="Times Roman" w:hAnsi="Times Roman"/>
        </w:rPr>
        <w:t xml:space="preserve"> purchasers took issue with the current UM finance model. It was at that time that Mr. Kalair attempted to re-design the model based on </w:t>
      </w:r>
      <w:r w:rsidR="006C3996">
        <w:rPr>
          <w:rFonts w:ascii="Times Roman" w:hAnsi="Times Roman"/>
        </w:rPr>
        <w:t>examples</w:t>
      </w:r>
      <w:r w:rsidRPr="00455E9A">
        <w:rPr>
          <w:rFonts w:ascii="Times Roman" w:hAnsi="Times Roman"/>
        </w:rPr>
        <w:t xml:space="preserve"> that were successful in other countries. He put together a legal opinion (Gowlings), an international SEB and who signed fatwas as to the legitimacy of the new product and a new Musharakah agreement.</w:t>
      </w:r>
      <w:r w:rsidRPr="00455E9A">
        <w:rPr>
          <w:rStyle w:val="FootnoteReference"/>
          <w:rFonts w:ascii="Times Roman" w:hAnsi="Times Roman"/>
        </w:rPr>
        <w:footnoteReference w:id="206"/>
      </w:r>
      <w:r w:rsidRPr="00455E9A">
        <w:rPr>
          <w:rFonts w:ascii="Times Roman" w:hAnsi="Times Roman"/>
        </w:rPr>
        <w:t xml:space="preserve"> Mr. Kalair</w:t>
      </w:r>
      <w:r w:rsidR="006C3996">
        <w:rPr>
          <w:rFonts w:ascii="Times Roman" w:hAnsi="Times Roman"/>
        </w:rPr>
        <w:t xml:space="preserve"> indicated that</w:t>
      </w:r>
      <w:r w:rsidRPr="00455E9A">
        <w:rPr>
          <w:rFonts w:ascii="Times Roman" w:hAnsi="Times Roman"/>
        </w:rPr>
        <w:t xml:space="preserve"> these documents </w:t>
      </w:r>
      <w:r w:rsidR="006C3996">
        <w:rPr>
          <w:rFonts w:ascii="Times Roman" w:hAnsi="Times Roman"/>
        </w:rPr>
        <w:t xml:space="preserve">would have been part of the package sent </w:t>
      </w:r>
      <w:r w:rsidRPr="00455E9A">
        <w:rPr>
          <w:rFonts w:ascii="Times Roman" w:hAnsi="Times Roman"/>
        </w:rPr>
        <w:t>to Romspen in addition to any commitment letters.</w:t>
      </w:r>
      <w:r w:rsidRPr="00455E9A">
        <w:rPr>
          <w:rStyle w:val="FootnoteReference"/>
          <w:rFonts w:ascii="Times Roman" w:hAnsi="Times Roman"/>
        </w:rPr>
        <w:footnoteReference w:id="207"/>
      </w:r>
      <w:r w:rsidRPr="00455E9A">
        <w:rPr>
          <w:rFonts w:ascii="Times Roman" w:hAnsi="Times Roman"/>
        </w:rPr>
        <w:t xml:space="preserve"> This </w:t>
      </w:r>
      <w:r w:rsidR="006C3996">
        <w:rPr>
          <w:rFonts w:ascii="Times Roman" w:hAnsi="Times Roman"/>
        </w:rPr>
        <w:t>kept</w:t>
      </w:r>
      <w:r w:rsidRPr="00455E9A">
        <w:rPr>
          <w:rFonts w:ascii="Times Roman" w:hAnsi="Times Roman"/>
        </w:rPr>
        <w:t xml:space="preserve"> the </w:t>
      </w:r>
      <w:r w:rsidR="006C3996">
        <w:rPr>
          <w:rFonts w:ascii="Times Roman" w:hAnsi="Times Roman"/>
        </w:rPr>
        <w:t>s</w:t>
      </w:r>
      <w:r w:rsidRPr="00455E9A">
        <w:rPr>
          <w:rFonts w:ascii="Times Roman" w:hAnsi="Times Roman"/>
        </w:rPr>
        <w:t xml:space="preserve">haria </w:t>
      </w:r>
      <w:r w:rsidRPr="00455E9A">
        <w:rPr>
          <w:rFonts w:ascii="Times Roman" w:hAnsi="Times Roman"/>
        </w:rPr>
        <w:lastRenderedPageBreak/>
        <w:t>component of the relationship outside the scope of the financial regulators</w:t>
      </w:r>
      <w:r w:rsidR="006C3996">
        <w:rPr>
          <w:rFonts w:ascii="Times Roman" w:hAnsi="Times Roman"/>
        </w:rPr>
        <w:t xml:space="preserve"> but satisfied the religious requirements of Muslim consumers</w:t>
      </w:r>
      <w:r w:rsidRPr="00455E9A">
        <w:rPr>
          <w:rFonts w:ascii="Times Roman" w:hAnsi="Times Roman"/>
        </w:rPr>
        <w:t>. As explained by Mr. Kalair:</w:t>
      </w:r>
    </w:p>
    <w:p w14:paraId="597F8643" w14:textId="0231FBF1"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So when OSFI</w:t>
      </w:r>
      <w:r w:rsidR="00C8149A">
        <w:rPr>
          <w:rFonts w:ascii="Times Roman" w:hAnsi="Times Roman"/>
        </w:rPr>
        <w:t xml:space="preserve"> </w:t>
      </w:r>
      <w:r w:rsidRPr="00455E9A">
        <w:rPr>
          <w:rFonts w:ascii="Times Roman" w:hAnsi="Times Roman"/>
        </w:rPr>
        <w:t>(ph) or any regulator looks at it, you’ll just see a regular mortgage with an interest rate, but the financial institution would have signed these additional documents to meet the Sharia compliant side of it.</w:t>
      </w:r>
      <w:r w:rsidRPr="00455E9A">
        <w:rPr>
          <w:rStyle w:val="FootnoteReference"/>
          <w:rFonts w:ascii="Times Roman" w:hAnsi="Times Roman"/>
        </w:rPr>
        <w:footnoteReference w:id="208"/>
      </w:r>
    </w:p>
    <w:p w14:paraId="0C4EAC55" w14:textId="7777777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Mr. Kalair does not dispute that at one time, he was prepared to pledge 17kg of gold to Rompsen in order to secure a deal, even though that gold was promised to the SEB. The goal of both Mr. Kalair and the SEB was to find a Sharia compliant alternative.</w:t>
      </w:r>
      <w:r w:rsidRPr="00455E9A">
        <w:rPr>
          <w:rStyle w:val="FootnoteReference"/>
          <w:rFonts w:ascii="Times Roman" w:hAnsi="Times Roman"/>
        </w:rPr>
        <w:footnoteReference w:id="209"/>
      </w:r>
    </w:p>
    <w:p w14:paraId="4135F340" w14:textId="034C9DBB"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 xml:space="preserve">Romspen </w:t>
      </w:r>
      <w:r w:rsidR="006C3996">
        <w:rPr>
          <w:rFonts w:ascii="Times Roman" w:hAnsi="Times Roman"/>
        </w:rPr>
        <w:t xml:space="preserve">seemed interested in stepping in to the mortgage portfolio and maintaining a sharia compliant structure but </w:t>
      </w:r>
      <w:r w:rsidRPr="00455E9A">
        <w:rPr>
          <w:rFonts w:ascii="Times Roman" w:hAnsi="Times Roman"/>
        </w:rPr>
        <w:t>was demanding one million dollars in security</w:t>
      </w:r>
      <w:r w:rsidR="006C3996">
        <w:rPr>
          <w:rFonts w:ascii="Times Roman" w:hAnsi="Times Roman"/>
        </w:rPr>
        <w:t xml:space="preserve"> to move forward</w:t>
      </w:r>
      <w:r w:rsidRPr="00455E9A">
        <w:rPr>
          <w:rFonts w:ascii="Times Roman" w:hAnsi="Times Roman"/>
        </w:rPr>
        <w:t>. Although Mr. Kalair suggested he mortgage his own home as a means of security, Rompsen was not amenable.</w:t>
      </w:r>
      <w:r w:rsidRPr="00455E9A">
        <w:rPr>
          <w:rStyle w:val="FootnoteReference"/>
          <w:rFonts w:ascii="Times Roman" w:hAnsi="Times Roman"/>
        </w:rPr>
        <w:footnoteReference w:id="210"/>
      </w:r>
      <w:r w:rsidRPr="00455E9A">
        <w:rPr>
          <w:rFonts w:ascii="Times Roman" w:hAnsi="Times Roman"/>
        </w:rPr>
        <w:t xml:space="preserve">  </w:t>
      </w:r>
      <w:r w:rsidR="006C3996">
        <w:rPr>
          <w:rFonts w:ascii="Times Roman" w:hAnsi="Times Roman"/>
        </w:rPr>
        <w:t xml:space="preserve">This was the second time Kalair attempted to put </w:t>
      </w:r>
      <w:r w:rsidR="006C3996">
        <w:rPr>
          <w:rFonts w:ascii="Times Roman" w:hAnsi="Times Roman"/>
          <w:b/>
          <w:bCs/>
          <w:i/>
          <w:iCs/>
        </w:rPr>
        <w:t xml:space="preserve">his own </w:t>
      </w:r>
      <w:r w:rsidR="006C3996">
        <w:rPr>
          <w:rFonts w:ascii="Times Roman" w:hAnsi="Times Roman"/>
        </w:rPr>
        <w:t xml:space="preserve">primary asset at risk for the sake of salvaging a sharia compliant solution for the homeowners. The only person at risk of deprivation in Kalair’s increasingly desperate schemes, we himself. </w:t>
      </w:r>
      <w:r w:rsidRPr="00455E9A">
        <w:rPr>
          <w:rFonts w:ascii="Times Roman" w:hAnsi="Times Roman"/>
        </w:rPr>
        <w:t>In the</w:t>
      </w:r>
      <w:r w:rsidR="006C3996">
        <w:rPr>
          <w:rFonts w:ascii="Times Roman" w:hAnsi="Times Roman"/>
        </w:rPr>
        <w:t>se</w:t>
      </w:r>
      <w:r w:rsidRPr="00455E9A">
        <w:rPr>
          <w:rFonts w:ascii="Times Roman" w:hAnsi="Times Roman"/>
        </w:rPr>
        <w:t xml:space="preserve"> dire circumstances, the SEB was content to pledge a portion of the gold </w:t>
      </w:r>
      <w:r w:rsidR="006C3996">
        <w:rPr>
          <w:rFonts w:ascii="Times Roman" w:hAnsi="Times Roman"/>
        </w:rPr>
        <w:t xml:space="preserve">payable to them </w:t>
      </w:r>
      <w:r w:rsidRPr="00455E9A">
        <w:rPr>
          <w:rFonts w:ascii="Times Roman" w:hAnsi="Times Roman"/>
        </w:rPr>
        <w:t xml:space="preserve">and defer payment </w:t>
      </w:r>
      <w:r w:rsidR="006C3996">
        <w:rPr>
          <w:rFonts w:ascii="Times Roman" w:hAnsi="Times Roman"/>
        </w:rPr>
        <w:t xml:space="preserve">(yet again) </w:t>
      </w:r>
      <w:r w:rsidRPr="00455E9A">
        <w:rPr>
          <w:rFonts w:ascii="Times Roman" w:hAnsi="Times Roman"/>
        </w:rPr>
        <w:t xml:space="preserve">of their professional fees if it meant that the portfolio would remain </w:t>
      </w:r>
      <w:r w:rsidR="006C3996">
        <w:rPr>
          <w:rFonts w:ascii="Times Roman" w:hAnsi="Times Roman"/>
        </w:rPr>
        <w:t>s</w:t>
      </w:r>
      <w:r w:rsidRPr="00455E9A">
        <w:rPr>
          <w:rFonts w:ascii="Times Roman" w:hAnsi="Times Roman"/>
        </w:rPr>
        <w:t>haria compliant.</w:t>
      </w:r>
      <w:r w:rsidRPr="00455E9A">
        <w:rPr>
          <w:rStyle w:val="FootnoteReference"/>
          <w:rFonts w:ascii="Times Roman" w:hAnsi="Times Roman"/>
        </w:rPr>
        <w:footnoteReference w:id="211"/>
      </w:r>
      <w:r w:rsidRPr="00455E9A">
        <w:rPr>
          <w:rFonts w:ascii="Times Roman" w:hAnsi="Times Roman"/>
        </w:rPr>
        <w:t xml:space="preserve">  Ultimately, the issue of payment of the gold to Romspen over the scholars became moot, as the receivership was ordered before the details of a deal could be </w:t>
      </w:r>
      <w:r w:rsidR="006C3996">
        <w:rPr>
          <w:rFonts w:ascii="Times Roman" w:hAnsi="Times Roman"/>
        </w:rPr>
        <w:t>finalized</w:t>
      </w:r>
      <w:r w:rsidRPr="00455E9A">
        <w:rPr>
          <w:rFonts w:ascii="Times Roman" w:hAnsi="Times Roman"/>
        </w:rPr>
        <w:t>.</w:t>
      </w:r>
      <w:r w:rsidRPr="00455E9A">
        <w:rPr>
          <w:rStyle w:val="FootnoteReference"/>
          <w:rFonts w:ascii="Times Roman" w:hAnsi="Times Roman"/>
        </w:rPr>
        <w:footnoteReference w:id="212"/>
      </w:r>
      <w:r w:rsidRPr="00455E9A">
        <w:rPr>
          <w:rFonts w:ascii="Times Roman" w:hAnsi="Times Roman"/>
        </w:rPr>
        <w:t xml:space="preserve">  </w:t>
      </w:r>
    </w:p>
    <w:p w14:paraId="4DC1A4D5"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18DD5D44" w14:textId="77777777" w:rsidR="00455E9A" w:rsidRPr="00EC1E4F" w:rsidRDefault="00455E9A" w:rsidP="00EC1E4F">
      <w:pPr>
        <w:pStyle w:val="Heading4"/>
        <w:ind w:firstLine="720"/>
        <w:rPr>
          <w:color w:val="auto"/>
        </w:rPr>
      </w:pPr>
      <w:bookmarkStart w:id="52" w:name="_Toc411860420"/>
      <w:r w:rsidRPr="00EC1E4F">
        <w:rPr>
          <w:color w:val="auto"/>
        </w:rPr>
        <w:t>Payment of Precious Metals</w:t>
      </w:r>
      <w:bookmarkEnd w:id="52"/>
    </w:p>
    <w:p w14:paraId="7F4FC407" w14:textId="77777777" w:rsidR="00455E9A" w:rsidRPr="00455E9A" w:rsidRDefault="00455E9A" w:rsidP="00455E9A">
      <w:pPr>
        <w:rPr>
          <w:rFonts w:ascii="Times Roman" w:hAnsi="Times Roman"/>
        </w:rPr>
      </w:pPr>
    </w:p>
    <w:p w14:paraId="322047F1" w14:textId="3633EED5"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 xml:space="preserve">According to Mr. Kalair, both UM and the SEB agreed that the scholars would be paid industry standard </w:t>
      </w:r>
      <w:r w:rsidR="00267F4C">
        <w:rPr>
          <w:rFonts w:ascii="Times Roman" w:hAnsi="Times Roman"/>
        </w:rPr>
        <w:t xml:space="preserve">rates </w:t>
      </w:r>
      <w:r w:rsidRPr="00455E9A">
        <w:rPr>
          <w:rFonts w:ascii="Times Roman" w:hAnsi="Times Roman"/>
        </w:rPr>
        <w:t>once UM had more than one million dollars in their bank account.</w:t>
      </w:r>
      <w:r w:rsidRPr="00455E9A">
        <w:rPr>
          <w:rStyle w:val="FootnoteReference"/>
          <w:rFonts w:ascii="Times Roman" w:hAnsi="Times Roman"/>
        </w:rPr>
        <w:footnoteReference w:id="213"/>
      </w:r>
      <w:r w:rsidRPr="00455E9A">
        <w:rPr>
          <w:rFonts w:ascii="Times Roman" w:hAnsi="Times Roman"/>
        </w:rPr>
        <w:t xml:space="preserve">  UM started to see an accumulation of funds in their bank account in 2011</w:t>
      </w:r>
      <w:r w:rsidR="00267F4C">
        <w:rPr>
          <w:rFonts w:ascii="Times Roman" w:hAnsi="Times Roman"/>
        </w:rPr>
        <w:t>.</w:t>
      </w:r>
      <w:r w:rsidRPr="00455E9A">
        <w:rPr>
          <w:rFonts w:ascii="Times Roman" w:hAnsi="Times Roman"/>
        </w:rPr>
        <w:t xml:space="preserve"> </w:t>
      </w:r>
      <w:r w:rsidR="00267F4C">
        <w:rPr>
          <w:rFonts w:ascii="Times Roman" w:hAnsi="Times Roman"/>
        </w:rPr>
        <w:lastRenderedPageBreak/>
        <w:t>Kalair explained that this was a result of mortgages for whom</w:t>
      </w:r>
      <w:r w:rsidRPr="00455E9A">
        <w:rPr>
          <w:rFonts w:ascii="Times Roman" w:hAnsi="Times Roman"/>
        </w:rPr>
        <w:t xml:space="preserve"> UM did not have 100% of the funds they were owed</w:t>
      </w:r>
      <w:r w:rsidR="00267F4C">
        <w:rPr>
          <w:rFonts w:ascii="Times Roman" w:hAnsi="Times Roman"/>
        </w:rPr>
        <w:t>.</w:t>
      </w:r>
      <w:r w:rsidRPr="00455E9A">
        <w:rPr>
          <w:rFonts w:ascii="Times Roman" w:hAnsi="Times Roman"/>
        </w:rPr>
        <w:t xml:space="preserve"> </w:t>
      </w:r>
      <w:r w:rsidR="00267F4C">
        <w:rPr>
          <w:rFonts w:ascii="Times Roman" w:hAnsi="Times Roman"/>
        </w:rPr>
        <w:t xml:space="preserve">As </w:t>
      </w:r>
      <w:r w:rsidRPr="00455E9A">
        <w:rPr>
          <w:rFonts w:ascii="Times Roman" w:hAnsi="Times Roman"/>
        </w:rPr>
        <w:t xml:space="preserve">such, they were not in a position to forward the </w:t>
      </w:r>
      <w:r w:rsidR="00267F4C">
        <w:rPr>
          <w:rFonts w:ascii="Times Roman" w:hAnsi="Times Roman"/>
        </w:rPr>
        <w:t>full payment to C1</w:t>
      </w:r>
      <w:r w:rsidRPr="00455E9A">
        <w:rPr>
          <w:rFonts w:ascii="Times Roman" w:hAnsi="Times Roman"/>
        </w:rPr>
        <w:t>.</w:t>
      </w:r>
      <w:r w:rsidRPr="00455E9A">
        <w:rPr>
          <w:rStyle w:val="FootnoteReference"/>
          <w:rFonts w:ascii="Times Roman" w:hAnsi="Times Roman"/>
        </w:rPr>
        <w:footnoteReference w:id="214"/>
      </w:r>
      <w:r w:rsidRPr="00455E9A">
        <w:rPr>
          <w:rFonts w:ascii="Times Roman" w:hAnsi="Times Roman"/>
        </w:rPr>
        <w:t xml:space="preserve"> Under the </w:t>
      </w:r>
      <w:r w:rsidR="00267F4C">
        <w:rPr>
          <w:rFonts w:ascii="Times Roman" w:hAnsi="Times Roman"/>
        </w:rPr>
        <w:t>m</w:t>
      </w:r>
      <w:r w:rsidRPr="00455E9A">
        <w:rPr>
          <w:rFonts w:ascii="Times Roman" w:hAnsi="Times Roman"/>
        </w:rPr>
        <w:t>udarabah contract, those funds rightly belonged to UM</w:t>
      </w:r>
      <w:r w:rsidR="00267F4C">
        <w:rPr>
          <w:rFonts w:ascii="Times Roman" w:hAnsi="Times Roman"/>
        </w:rPr>
        <w:t xml:space="preserve"> until the mudarabah expenses were satisfied and the profits, if any, distributed.</w:t>
      </w:r>
      <w:r w:rsidRPr="00455E9A">
        <w:rPr>
          <w:rStyle w:val="FootnoteReference"/>
          <w:rFonts w:ascii="Times Roman" w:hAnsi="Times Roman"/>
        </w:rPr>
        <w:footnoteReference w:id="215"/>
      </w:r>
    </w:p>
    <w:p w14:paraId="1B74A4B9" w14:textId="3C2C487F"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The SEB requested that their fees be set aside in gold and silver.</w:t>
      </w:r>
      <w:r w:rsidRPr="00455E9A">
        <w:rPr>
          <w:rStyle w:val="FootnoteReference"/>
          <w:rFonts w:ascii="Times Roman" w:hAnsi="Times Roman"/>
        </w:rPr>
        <w:footnoteReference w:id="216"/>
      </w:r>
      <w:r w:rsidRPr="00455E9A">
        <w:rPr>
          <w:rFonts w:ascii="Times Roman" w:hAnsi="Times Roman"/>
        </w:rPr>
        <w:t xml:space="preserve">  This request did not cause Mr. Kalair </w:t>
      </w:r>
      <w:r w:rsidR="00267F4C">
        <w:rPr>
          <w:rFonts w:ascii="Times Roman" w:hAnsi="Times Roman"/>
        </w:rPr>
        <w:t>concerns.</w:t>
      </w:r>
      <w:r w:rsidRPr="00455E9A">
        <w:rPr>
          <w:rFonts w:ascii="Times Roman" w:hAnsi="Times Roman"/>
        </w:rPr>
        <w:t xml:space="preserve"> </w:t>
      </w:r>
      <w:r w:rsidR="00267F4C">
        <w:rPr>
          <w:rFonts w:ascii="Times Roman" w:hAnsi="Times Roman"/>
        </w:rPr>
        <w:t>H</w:t>
      </w:r>
      <w:r w:rsidRPr="00455E9A">
        <w:rPr>
          <w:rFonts w:ascii="Times Roman" w:hAnsi="Times Roman"/>
        </w:rPr>
        <w:t>e had made a promise to the scholars and he had to fulfill that promise</w:t>
      </w:r>
      <w:r w:rsidR="00267F4C">
        <w:rPr>
          <w:rFonts w:ascii="Times Roman" w:hAnsi="Times Roman"/>
        </w:rPr>
        <w:t>.</w:t>
      </w:r>
      <w:r w:rsidRPr="00455E9A">
        <w:rPr>
          <w:rFonts w:ascii="Times Roman" w:hAnsi="Times Roman"/>
        </w:rPr>
        <w:t xml:space="preserve"> </w:t>
      </w:r>
      <w:r w:rsidR="00267F4C">
        <w:rPr>
          <w:rFonts w:ascii="Times Roman" w:hAnsi="Times Roman"/>
        </w:rPr>
        <w:t>H</w:t>
      </w:r>
      <w:r w:rsidRPr="00455E9A">
        <w:rPr>
          <w:rFonts w:ascii="Times Roman" w:hAnsi="Times Roman"/>
        </w:rPr>
        <w:t>e understood the significance of gold and silver in Islamic culture</w:t>
      </w:r>
      <w:r w:rsidR="00267F4C">
        <w:rPr>
          <w:rFonts w:ascii="Times Roman" w:hAnsi="Times Roman"/>
        </w:rPr>
        <w:t xml:space="preserve"> as both metals were staples of cultural and religious importance</w:t>
      </w:r>
      <w:r w:rsidRPr="00455E9A">
        <w:rPr>
          <w:rFonts w:ascii="Times Roman" w:hAnsi="Times Roman"/>
        </w:rPr>
        <w:t>.</w:t>
      </w:r>
      <w:r w:rsidRPr="00455E9A">
        <w:rPr>
          <w:rStyle w:val="FootnoteReference"/>
          <w:rFonts w:ascii="Times Roman" w:hAnsi="Times Roman"/>
        </w:rPr>
        <w:footnoteReference w:id="217"/>
      </w:r>
    </w:p>
    <w:p w14:paraId="64DFFB36" w14:textId="61499A34"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 xml:space="preserve">This discussion of </w:t>
      </w:r>
      <w:r w:rsidR="00267F4C">
        <w:rPr>
          <w:rFonts w:ascii="Times Roman" w:hAnsi="Times Roman"/>
        </w:rPr>
        <w:t xml:space="preserve">the SEB </w:t>
      </w:r>
      <w:r w:rsidRPr="00455E9A">
        <w:rPr>
          <w:rFonts w:ascii="Times Roman" w:hAnsi="Times Roman"/>
        </w:rPr>
        <w:t xml:space="preserve">fees </w:t>
      </w:r>
      <w:r w:rsidR="00267F4C">
        <w:rPr>
          <w:rFonts w:ascii="Times Roman" w:hAnsi="Times Roman"/>
        </w:rPr>
        <w:t>arose</w:t>
      </w:r>
      <w:r w:rsidRPr="00455E9A">
        <w:rPr>
          <w:rFonts w:ascii="Times Roman" w:hAnsi="Times Roman"/>
        </w:rPr>
        <w:t xml:space="preserve"> </w:t>
      </w:r>
      <w:r w:rsidR="00267F4C">
        <w:rPr>
          <w:rFonts w:ascii="Times Roman" w:hAnsi="Times Roman"/>
        </w:rPr>
        <w:t>numerous times</w:t>
      </w:r>
      <w:r w:rsidRPr="00455E9A">
        <w:rPr>
          <w:rFonts w:ascii="Times Roman" w:hAnsi="Times Roman"/>
        </w:rPr>
        <w:t xml:space="preserve">, but the frequency of the requests </w:t>
      </w:r>
      <w:r w:rsidR="00267F4C">
        <w:rPr>
          <w:rFonts w:ascii="Times Roman" w:hAnsi="Times Roman"/>
        </w:rPr>
        <w:t xml:space="preserve">increased </w:t>
      </w:r>
      <w:r w:rsidRPr="00455E9A">
        <w:rPr>
          <w:rFonts w:ascii="Times Roman" w:hAnsi="Times Roman"/>
        </w:rPr>
        <w:t>once the court ordered the receivership</w:t>
      </w:r>
      <w:r w:rsidR="00267F4C">
        <w:rPr>
          <w:rFonts w:ascii="Times Roman" w:hAnsi="Times Roman"/>
        </w:rPr>
        <w:t>.</w:t>
      </w:r>
      <w:r w:rsidRPr="00455E9A">
        <w:rPr>
          <w:rStyle w:val="FootnoteReference"/>
          <w:rFonts w:ascii="Times Roman" w:hAnsi="Times Roman"/>
        </w:rPr>
        <w:footnoteReference w:id="218"/>
      </w:r>
      <w:r w:rsidRPr="00455E9A">
        <w:rPr>
          <w:rFonts w:ascii="Times Roman" w:hAnsi="Times Roman"/>
        </w:rPr>
        <w:t xml:space="preserve">  </w:t>
      </w:r>
    </w:p>
    <w:p w14:paraId="7FB534AF" w14:textId="5E26E934"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When Mr. Kalair first purchased gold on August 30, 2011, it was Mr. Durst who assisted him. According to Mr. Kalair, in the course of their usual discussions about business, he explained to Mr. Durst</w:t>
      </w:r>
      <w:r w:rsidR="00267F4C">
        <w:rPr>
          <w:rFonts w:ascii="Times Roman" w:hAnsi="Times Roman"/>
        </w:rPr>
        <w:t xml:space="preserve"> the interplay of first and second mortgages to assist homeowners in meeting their down payment obligations. These second mortgages were often funded by investors through a $5 million dollar fund held by UM’s sister company, UM Real Estate (UMRE) which shared office space with UM.</w:t>
      </w:r>
      <w:r w:rsidRPr="00455E9A">
        <w:rPr>
          <w:rStyle w:val="FootnoteReference"/>
          <w:rFonts w:ascii="Times Roman" w:hAnsi="Times Roman"/>
        </w:rPr>
        <w:footnoteReference w:id="219"/>
      </w:r>
      <w:r w:rsidRPr="00455E9A">
        <w:rPr>
          <w:rFonts w:ascii="Times Roman" w:hAnsi="Times Roman"/>
        </w:rPr>
        <w:t xml:space="preserve">  Mr. Kalair explained his exchange with Mr. Durst as follows:</w:t>
      </w:r>
      <w:r w:rsidRPr="00455E9A">
        <w:rPr>
          <w:rStyle w:val="FootnoteReference"/>
          <w:rFonts w:ascii="Times Roman" w:hAnsi="Times Roman"/>
        </w:rPr>
        <w:footnoteReference w:id="220"/>
      </w:r>
    </w:p>
    <w:p w14:paraId="65B31741"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22901838"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Q. So we see that it says this is submitted August 31st, around lunchtime at 11:38 a.m. And there’s a discussion there saying that he, Mr. Durst has met with you. “We’ve now met with Mr. Omar Kalair. He claims that one of the investors in the business has requested that some of his five million investment be converted to gold …” etc., etc. What do you think you were talking about with Mr. Durst at that time? </w:t>
      </w:r>
    </w:p>
    <w:p w14:paraId="0CFDDCA3"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020606DA"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A. Yeah, so when I seen this is that the only time we mentioned five million was in reference to UM Real Estate Investment Inc. and money moving from UM Financial Inc. to UM Real Estate Investment Inc</w:t>
      </w:r>
    </w:p>
    <w:p w14:paraId="3C417E10"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378DED61"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Q. So did the gold purchase, in your mind, have anything to deal with UM Real Estate Investment Inc.? </w:t>
      </w:r>
    </w:p>
    <w:p w14:paraId="5AD86A3E"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3B70BBB8"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A. No. </w:t>
      </w:r>
    </w:p>
    <w:p w14:paraId="6EDE4A99"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60E0B7BB"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Q. Did it have anything to do with making an investment on behalf of one of your UMRE investors? </w:t>
      </w:r>
    </w:p>
    <w:p w14:paraId="27F56D5B"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0D710F88"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A. No. </w:t>
      </w:r>
    </w:p>
    <w:p w14:paraId="456D9538"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180263C2"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Q. So is this an accurate statement of what the conversation you had with Mr. Durst to your recollection? </w:t>
      </w:r>
    </w:p>
    <w:p w14:paraId="2EB9B7DC"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25CF371C"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A. It’s not accurate. </w:t>
      </w:r>
    </w:p>
    <w:p w14:paraId="1981EBE4"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28433E94"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Q. Okay, so did Mr. Durst ask you at all about the purpose for the gold transaction? What exchange did you have with Mr. Durst while you were doing whatever you needed to do to purchase that gold?</w:t>
      </w:r>
    </w:p>
    <w:p w14:paraId="36C488CF"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2CC14D42"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A. Yeah, we did talk about -- I did say I want to buy gold and we got into the gold discussion, how gold’s been rising and there’s a lot of unrest in the world, etc., and it’s projected to grow, so we did have that discussion with him. </w:t>
      </w:r>
    </w:p>
    <w:p w14:paraId="0EBDB193"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1E520AA7"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Q. But was that what you gave as a reason or did he even ask as a reason?</w:t>
      </w:r>
    </w:p>
    <w:p w14:paraId="4C6F6FA0"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6A1A277C"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lastRenderedPageBreak/>
        <w:t>A. I don’t recall him asking me why I’m buying it. I don’t recall him asking me that question.</w:t>
      </w:r>
    </w:p>
    <w:p w14:paraId="0869C280"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 </w:t>
      </w:r>
    </w:p>
    <w:p w14:paraId="5C57650A"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Q. So would you have mentioned anything about the Sharia Board to Mr. Durst, do you recall?</w:t>
      </w:r>
    </w:p>
    <w:p w14:paraId="1FCC27D9" w14:textId="77777777" w:rsidR="00455E9A" w:rsidRPr="00455E9A" w:rsidRDefault="00455E9A" w:rsidP="00455E9A">
      <w:pPr>
        <w:pStyle w:val="ListParagraph"/>
        <w:shd w:val="clear" w:color="auto" w:fill="FFFFFF"/>
        <w:spacing w:after="120" w:line="360" w:lineRule="auto"/>
        <w:jc w:val="both"/>
        <w:rPr>
          <w:rFonts w:ascii="Times Roman" w:hAnsi="Times Roman"/>
        </w:rPr>
      </w:pPr>
    </w:p>
    <w:p w14:paraId="762162EE"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A. No. We didn’t mention at all the Sharia Board.</w:t>
      </w:r>
    </w:p>
    <w:p w14:paraId="79DD4004"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37EDC786" w14:textId="7777777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At this point in time, Mr. Kalair had a sense that the SEB was to be paid $30,000.00 a month dating back to 2004. Overall, they were owed somewhere around 2.8 million dollars.</w:t>
      </w:r>
      <w:r w:rsidRPr="00455E9A">
        <w:rPr>
          <w:rStyle w:val="FootnoteReference"/>
          <w:rFonts w:ascii="Times Roman" w:hAnsi="Times Roman"/>
        </w:rPr>
        <w:footnoteReference w:id="221"/>
      </w:r>
      <w:r w:rsidRPr="00455E9A">
        <w:rPr>
          <w:rFonts w:ascii="Times Roman" w:hAnsi="Times Roman"/>
        </w:rPr>
        <w:t xml:space="preserve"> When Mr. Kalair came back a second time and told Mr. Durst that he was looking to purchase more gold, it was Mr. Durst who directed him to Bendix.</w:t>
      </w:r>
      <w:r w:rsidRPr="00455E9A">
        <w:rPr>
          <w:rStyle w:val="FootnoteReference"/>
          <w:rFonts w:ascii="Times Roman" w:hAnsi="Times Roman"/>
        </w:rPr>
        <w:footnoteReference w:id="222"/>
      </w:r>
      <w:r w:rsidRPr="00455E9A">
        <w:rPr>
          <w:rFonts w:ascii="Times Roman" w:hAnsi="Times Roman"/>
        </w:rPr>
        <w:t xml:space="preserve">  Mr. Kalair provided Bendix with whatever documentation they requested, including multiple pieces of ID. He did not feel as though he had anything to hide.</w:t>
      </w:r>
      <w:r w:rsidRPr="00455E9A">
        <w:rPr>
          <w:rStyle w:val="FootnoteReference"/>
          <w:rFonts w:ascii="Times Roman" w:hAnsi="Times Roman"/>
        </w:rPr>
        <w:footnoteReference w:id="223"/>
      </w:r>
      <w:r w:rsidRPr="00455E9A">
        <w:rPr>
          <w:rFonts w:ascii="Times Roman" w:hAnsi="Times Roman"/>
        </w:rPr>
        <w:t xml:space="preserve">  </w:t>
      </w:r>
    </w:p>
    <w:p w14:paraId="380C3313" w14:textId="7777777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The 2.79 million dollar invoice was drafted on September 26, 2011 by Mr. Kalair on the instructions of Mr. Panchbhaya, who was representing the collective MCC</w:t>
      </w:r>
      <w:r w:rsidRPr="00455E9A">
        <w:rPr>
          <w:rStyle w:val="FootnoteReference"/>
          <w:rFonts w:ascii="Times Roman" w:hAnsi="Times Roman"/>
        </w:rPr>
        <w:footnoteReference w:id="224"/>
      </w:r>
      <w:r w:rsidRPr="00455E9A">
        <w:rPr>
          <w:rFonts w:ascii="Times Roman" w:hAnsi="Times Roman"/>
        </w:rPr>
        <w:t>.  Mr. Kalair did not know how the money would be divvied up amongst the scholars.</w:t>
      </w:r>
      <w:r w:rsidRPr="00455E9A">
        <w:rPr>
          <w:rStyle w:val="FootnoteReference"/>
          <w:rFonts w:ascii="Times Roman" w:hAnsi="Times Roman"/>
        </w:rPr>
        <w:footnoteReference w:id="225"/>
      </w:r>
      <w:r w:rsidRPr="00455E9A">
        <w:rPr>
          <w:rFonts w:ascii="Times Roman" w:hAnsi="Times Roman"/>
        </w:rPr>
        <w:t xml:space="preserve">  With respect to whether or not the money would be paid to international scholars, Mr. Kalair said the following</w:t>
      </w:r>
      <w:r w:rsidRPr="00455E9A">
        <w:rPr>
          <w:rStyle w:val="FootnoteReference"/>
          <w:rFonts w:ascii="Times Roman" w:hAnsi="Times Roman"/>
        </w:rPr>
        <w:footnoteReference w:id="226"/>
      </w:r>
      <w:r w:rsidRPr="00455E9A">
        <w:rPr>
          <w:rFonts w:ascii="Times Roman" w:hAnsi="Times Roman"/>
        </w:rPr>
        <w:t>:</w:t>
      </w:r>
    </w:p>
    <w:p w14:paraId="4710401C"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557854B4"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 xml:space="preserve">Q. So did you make any inquiries about whether some of these funds were going to be going, as I said overseas to international scholars? </w:t>
      </w:r>
    </w:p>
    <w:p w14:paraId="045651C4"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7E8B6D8B"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lastRenderedPageBreak/>
        <w:t xml:space="preserve">A. Well in my discussions with them I was, I understood from what they shared to me that yes there were a group of scholars overseas that had issued a Fatwa and they were directly involved or reporting to this Sharia Board. </w:t>
      </w:r>
    </w:p>
    <w:p w14:paraId="45F6672E"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18E128F4"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Q. Did you ever get to see that Fatwa that you thought was issued by someone internationally?</w:t>
      </w:r>
    </w:p>
    <w:p w14:paraId="10ECD8EF"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694AF674" w14:textId="77777777" w:rsidR="00455E9A" w:rsidRPr="00455E9A" w:rsidRDefault="00455E9A" w:rsidP="00455E9A">
      <w:pPr>
        <w:pStyle w:val="ListParagraph"/>
        <w:shd w:val="clear" w:color="auto" w:fill="FFFFFF"/>
        <w:spacing w:after="120" w:line="360" w:lineRule="auto"/>
        <w:ind w:left="0" w:firstLine="720"/>
        <w:jc w:val="both"/>
        <w:rPr>
          <w:rFonts w:ascii="Times Roman" w:hAnsi="Times Roman"/>
        </w:rPr>
      </w:pPr>
      <w:r w:rsidRPr="00455E9A">
        <w:rPr>
          <w:rFonts w:ascii="Times Roman" w:hAnsi="Times Roman"/>
        </w:rPr>
        <w:t xml:space="preserve">A. No, I have not. </w:t>
      </w:r>
    </w:p>
    <w:p w14:paraId="7BDDB1BB" w14:textId="49ABB52C"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After Mr. Joseph Adam was appointed as Manager of Finance for MCC,</w:t>
      </w:r>
      <w:r w:rsidRPr="00455E9A">
        <w:rPr>
          <w:rStyle w:val="FootnoteReference"/>
          <w:rFonts w:ascii="Times Roman" w:hAnsi="Times Roman"/>
        </w:rPr>
        <w:footnoteReference w:id="227"/>
      </w:r>
      <w:r w:rsidRPr="00455E9A">
        <w:rPr>
          <w:rFonts w:ascii="Times Roman" w:hAnsi="Times Roman"/>
        </w:rPr>
        <w:t xml:space="preserve"> Mr. Kalair was to pass the precious metals off to him.</w:t>
      </w:r>
      <w:r w:rsidRPr="00455E9A">
        <w:rPr>
          <w:rStyle w:val="FootnoteReference"/>
          <w:rFonts w:ascii="Times Roman" w:hAnsi="Times Roman"/>
        </w:rPr>
        <w:footnoteReference w:id="228"/>
      </w:r>
      <w:r w:rsidRPr="00455E9A">
        <w:rPr>
          <w:rFonts w:ascii="Times Roman" w:hAnsi="Times Roman"/>
        </w:rPr>
        <w:t xml:space="preserve">  Mr. Kalair had known Mr. Adam for 20 years. He was an active member of the Muslim community. Mr. Kalair had complete trust in him.</w:t>
      </w:r>
      <w:r w:rsidRPr="00455E9A">
        <w:rPr>
          <w:rStyle w:val="FootnoteReference"/>
          <w:rFonts w:ascii="Times Roman" w:hAnsi="Times Roman"/>
        </w:rPr>
        <w:footnoteReference w:id="229"/>
      </w:r>
      <w:r w:rsidRPr="00455E9A">
        <w:rPr>
          <w:rFonts w:ascii="Times Roman" w:hAnsi="Times Roman"/>
        </w:rPr>
        <w:t xml:space="preserve"> Once he passed off the precious metals, it was his view that he had satisfied his obligations. He had much more pressing concerns to attend to as his business was </w:t>
      </w:r>
      <w:r w:rsidR="00267F4C">
        <w:rPr>
          <w:rFonts w:ascii="Times Roman" w:hAnsi="Times Roman"/>
        </w:rPr>
        <w:t>rapidly</w:t>
      </w:r>
      <w:r w:rsidRPr="00455E9A">
        <w:rPr>
          <w:rFonts w:ascii="Times Roman" w:hAnsi="Times Roman"/>
        </w:rPr>
        <w:t xml:space="preserve"> disintegrating.  </w:t>
      </w:r>
    </w:p>
    <w:p w14:paraId="02F83ADD"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07F6E15E" w14:textId="77777777" w:rsidR="00455E9A" w:rsidRPr="00EC1E4F" w:rsidRDefault="00455E9A" w:rsidP="00EC1E4F">
      <w:pPr>
        <w:pStyle w:val="Heading4"/>
        <w:ind w:firstLine="720"/>
        <w:rPr>
          <w:color w:val="auto"/>
        </w:rPr>
      </w:pPr>
      <w:bookmarkStart w:id="53" w:name="_Toc411860421"/>
      <w:r w:rsidRPr="00EC1E4F">
        <w:rPr>
          <w:color w:val="auto"/>
        </w:rPr>
        <w:t>Assignment of Claim</w:t>
      </w:r>
      <w:bookmarkEnd w:id="53"/>
    </w:p>
    <w:p w14:paraId="253085A8" w14:textId="77777777" w:rsidR="00455E9A" w:rsidRPr="00455E9A" w:rsidRDefault="00455E9A" w:rsidP="00455E9A">
      <w:pPr>
        <w:rPr>
          <w:rFonts w:ascii="Times Roman" w:hAnsi="Times Roman"/>
        </w:rPr>
      </w:pPr>
    </w:p>
    <w:p w14:paraId="51843279" w14:textId="1523A4BC"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As has been discussed throughout the evidence, UM filed a 50 million dollar statement of claim against Central 1. Mr. Kalair was concerned that Central 1 would purchase the lawsuit and abandon it</w:t>
      </w:r>
      <w:r w:rsidR="00267F4C">
        <w:rPr>
          <w:rFonts w:ascii="Times Roman" w:hAnsi="Times Roman"/>
        </w:rPr>
        <w:t xml:space="preserve"> – a concern that proved to be well-founded.</w:t>
      </w:r>
      <w:r w:rsidRPr="00455E9A">
        <w:rPr>
          <w:rFonts w:ascii="Times Roman" w:hAnsi="Times Roman"/>
        </w:rPr>
        <w:t xml:space="preserve"> In October of 2011, that claim was assigned to MCC knowing that MCC shared the ultimate goal of keeping the mortgage portfolio Sharia compliant.</w:t>
      </w:r>
      <w:r w:rsidRPr="00455E9A">
        <w:rPr>
          <w:rStyle w:val="FootnoteReference"/>
          <w:rFonts w:ascii="Times Roman" w:hAnsi="Times Roman"/>
        </w:rPr>
        <w:footnoteReference w:id="230"/>
      </w:r>
      <w:r w:rsidRPr="00455E9A">
        <w:rPr>
          <w:rFonts w:ascii="Times Roman" w:hAnsi="Times Roman"/>
        </w:rPr>
        <w:t xml:space="preserve">  Had the claim succeeded, funds from that claim could have </w:t>
      </w:r>
      <w:r w:rsidR="00267F4C">
        <w:rPr>
          <w:rFonts w:ascii="Times Roman" w:hAnsi="Times Roman"/>
        </w:rPr>
        <w:t xml:space="preserve">offset any </w:t>
      </w:r>
      <w:r w:rsidRPr="00455E9A">
        <w:rPr>
          <w:rFonts w:ascii="Times Roman" w:hAnsi="Times Roman"/>
        </w:rPr>
        <w:t>debt o</w:t>
      </w:r>
      <w:r w:rsidR="00267F4C">
        <w:rPr>
          <w:rFonts w:ascii="Times Roman" w:hAnsi="Times Roman"/>
        </w:rPr>
        <w:t>wed</w:t>
      </w:r>
      <w:r w:rsidRPr="00455E9A">
        <w:rPr>
          <w:rFonts w:ascii="Times Roman" w:hAnsi="Times Roman"/>
        </w:rPr>
        <w:t xml:space="preserve"> to Central 1 and the SEB and</w:t>
      </w:r>
      <w:r w:rsidR="00267F4C">
        <w:rPr>
          <w:rFonts w:ascii="Times Roman" w:hAnsi="Times Roman"/>
        </w:rPr>
        <w:t xml:space="preserve"> might</w:t>
      </w:r>
      <w:r w:rsidRPr="00455E9A">
        <w:rPr>
          <w:rFonts w:ascii="Times Roman" w:hAnsi="Times Roman"/>
        </w:rPr>
        <w:t xml:space="preserve"> have left Mr. Kalair in a position to restart the business of UM in whatever form he could.</w:t>
      </w:r>
    </w:p>
    <w:p w14:paraId="57911C3E" w14:textId="4DC38D68"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 xml:space="preserve">While the Crown claims that the assignment reeks of an unsuccessful effort to grant an unlawful preference, </w:t>
      </w:r>
      <w:r w:rsidR="00267F4C">
        <w:rPr>
          <w:rFonts w:ascii="Times Roman" w:hAnsi="Times Roman"/>
        </w:rPr>
        <w:t>the defence points to</w:t>
      </w:r>
      <w:r w:rsidRPr="00455E9A">
        <w:rPr>
          <w:rFonts w:ascii="Times Roman" w:hAnsi="Times Roman"/>
        </w:rPr>
        <w:t xml:space="preserve"> the unsavoury odor emanat</w:t>
      </w:r>
      <w:r w:rsidR="00267F4C">
        <w:rPr>
          <w:rFonts w:ascii="Times Roman" w:hAnsi="Times Roman"/>
        </w:rPr>
        <w:t>ing</w:t>
      </w:r>
      <w:r w:rsidRPr="00455E9A">
        <w:rPr>
          <w:rFonts w:ascii="Times Roman" w:hAnsi="Times Roman"/>
        </w:rPr>
        <w:t xml:space="preserve"> from </w:t>
      </w:r>
      <w:r w:rsidRPr="00455E9A">
        <w:rPr>
          <w:rFonts w:ascii="Times Roman" w:hAnsi="Times Roman"/>
        </w:rPr>
        <w:lastRenderedPageBreak/>
        <w:t xml:space="preserve">Central 1’s decision to hire Grant Thornton prior to any receivership, paying </w:t>
      </w:r>
      <w:r w:rsidR="00267F4C">
        <w:rPr>
          <w:rFonts w:ascii="Times Roman" w:hAnsi="Times Roman"/>
        </w:rPr>
        <w:t xml:space="preserve">GTL </w:t>
      </w:r>
      <w:r w:rsidRPr="00455E9A">
        <w:rPr>
          <w:rFonts w:ascii="Times Roman" w:hAnsi="Times Roman"/>
        </w:rPr>
        <w:t>millions of dollars during receivership while G</w:t>
      </w:r>
      <w:r w:rsidR="00267F4C">
        <w:rPr>
          <w:rFonts w:ascii="Times Roman" w:hAnsi="Times Roman"/>
        </w:rPr>
        <w:t>TL</w:t>
      </w:r>
      <w:r w:rsidRPr="00455E9A">
        <w:rPr>
          <w:rFonts w:ascii="Times Roman" w:hAnsi="Times Roman"/>
        </w:rPr>
        <w:t xml:space="preserve"> is purporting to be a neutral court-appointed third party and then having </w:t>
      </w:r>
      <w:r w:rsidR="00267F4C">
        <w:rPr>
          <w:rFonts w:ascii="Times Roman" w:hAnsi="Times Roman"/>
        </w:rPr>
        <w:t>GTL</w:t>
      </w:r>
      <w:r w:rsidRPr="00455E9A">
        <w:rPr>
          <w:rFonts w:ascii="Times Roman" w:hAnsi="Times Roman"/>
        </w:rPr>
        <w:t xml:space="preserve"> return the favour by arranging the purchase and abandonment of the claim. The purchase of the claim ensured that Central 1 did not have to answer the claim in civil court.</w:t>
      </w:r>
    </w:p>
    <w:p w14:paraId="74F5553B" w14:textId="64C232CD" w:rsidR="00455E9A" w:rsidRPr="00455E9A" w:rsidRDefault="00267F4C" w:rsidP="00455E9A">
      <w:pPr>
        <w:pStyle w:val="ListParagraph"/>
        <w:numPr>
          <w:ilvl w:val="0"/>
          <w:numId w:val="1"/>
        </w:numPr>
        <w:shd w:val="clear" w:color="auto" w:fill="FFFFFF"/>
        <w:spacing w:after="120" w:line="360" w:lineRule="auto"/>
        <w:ind w:left="0" w:firstLine="0"/>
        <w:jc w:val="both"/>
        <w:rPr>
          <w:rFonts w:ascii="Times Roman" w:hAnsi="Times Roman"/>
        </w:rPr>
      </w:pPr>
      <w:r>
        <w:rPr>
          <w:rFonts w:ascii="Times Roman" w:hAnsi="Times Roman"/>
        </w:rPr>
        <w:t>Although</w:t>
      </w:r>
      <w:r w:rsidR="00455E9A" w:rsidRPr="00455E9A">
        <w:rPr>
          <w:rFonts w:ascii="Times Roman" w:hAnsi="Times Roman"/>
        </w:rPr>
        <w:t xml:space="preserve"> originally assigned</w:t>
      </w:r>
      <w:r>
        <w:rPr>
          <w:rFonts w:ascii="Times Roman" w:hAnsi="Times Roman"/>
        </w:rPr>
        <w:t xml:space="preserve"> for</w:t>
      </w:r>
      <w:r w:rsidR="00455E9A" w:rsidRPr="00455E9A">
        <w:rPr>
          <w:rFonts w:ascii="Times Roman" w:hAnsi="Times Roman"/>
        </w:rPr>
        <w:t xml:space="preserve"> $1000.00, </w:t>
      </w:r>
      <w:r w:rsidR="00A2660B">
        <w:rPr>
          <w:rFonts w:ascii="Times Roman" w:hAnsi="Times Roman"/>
        </w:rPr>
        <w:t xml:space="preserve">evidence suggested this was a typographical </w:t>
      </w:r>
      <w:r w:rsidR="00455E9A" w:rsidRPr="00455E9A">
        <w:rPr>
          <w:rFonts w:ascii="Times Roman" w:hAnsi="Times Roman"/>
        </w:rPr>
        <w:t xml:space="preserve">error. The correct amount, as corroborated by Mr. Siddiqui in his testimony and in a letter written by counsel for UM, Mr. Ullman, would have been somewhere around 2 million dollars. This </w:t>
      </w:r>
      <w:r w:rsidR="00A2660B">
        <w:rPr>
          <w:rFonts w:ascii="Times Roman" w:hAnsi="Times Roman"/>
        </w:rPr>
        <w:t>was close to</w:t>
      </w:r>
      <w:r w:rsidR="00455E9A" w:rsidRPr="00455E9A">
        <w:rPr>
          <w:rFonts w:ascii="Times Roman" w:hAnsi="Times Roman"/>
        </w:rPr>
        <w:t xml:space="preserve"> the amount owed to MCC in professional fees. </w:t>
      </w:r>
      <w:r w:rsidR="00455E9A" w:rsidRPr="00455E9A">
        <w:rPr>
          <w:rStyle w:val="FootnoteReference"/>
          <w:rFonts w:ascii="Times Roman" w:hAnsi="Times Roman"/>
        </w:rPr>
        <w:footnoteReference w:id="231"/>
      </w:r>
      <w:r w:rsidR="00455E9A" w:rsidRPr="00455E9A">
        <w:rPr>
          <w:rFonts w:ascii="Times Roman" w:hAnsi="Times Roman"/>
        </w:rPr>
        <w:t xml:space="preserve"> </w:t>
      </w:r>
    </w:p>
    <w:p w14:paraId="02D3A90E" w14:textId="7777777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With resect to the intentions behind that Statement of Claim, Mr. Kalair stated</w:t>
      </w:r>
      <w:r w:rsidRPr="00455E9A">
        <w:rPr>
          <w:rStyle w:val="FootnoteReference"/>
          <w:rFonts w:ascii="Times Roman" w:hAnsi="Times Roman"/>
        </w:rPr>
        <w:footnoteReference w:id="232"/>
      </w:r>
      <w:r w:rsidRPr="00455E9A">
        <w:rPr>
          <w:rFonts w:ascii="Times Roman" w:hAnsi="Times Roman"/>
        </w:rPr>
        <w:t>:</w:t>
      </w:r>
    </w:p>
    <w:p w14:paraId="0D0931DD" w14:textId="6176E04B" w:rsidR="00455E9A" w:rsidRPr="00455E9A" w:rsidRDefault="00455E9A" w:rsidP="00455E9A">
      <w:pPr>
        <w:pStyle w:val="ListParagraph"/>
        <w:shd w:val="clear" w:color="auto" w:fill="FFFFFF"/>
        <w:spacing w:after="120" w:line="360" w:lineRule="auto"/>
        <w:ind w:left="1440"/>
        <w:jc w:val="both"/>
        <w:rPr>
          <w:rFonts w:ascii="Times Roman" w:hAnsi="Times Roman"/>
        </w:rPr>
      </w:pPr>
      <w:r w:rsidRPr="00455E9A">
        <w:rPr>
          <w:rFonts w:ascii="Times Roman" w:hAnsi="Times Roman"/>
        </w:rPr>
        <w:t>…if there were any proceeds to come out of that, that would also be for the betterment of our community and have the Sharia Board intervene and got a settlement from that 5</w:t>
      </w:r>
      <w:r w:rsidR="00A2660B">
        <w:rPr>
          <w:rFonts w:ascii="Times Roman" w:hAnsi="Times Roman"/>
        </w:rPr>
        <w:t>0</w:t>
      </w:r>
      <w:r w:rsidRPr="00455E9A">
        <w:rPr>
          <w:rFonts w:ascii="Times Roman" w:hAnsi="Times Roman"/>
        </w:rPr>
        <w:t xml:space="preserve"> million dollar Statement of Claim, that would be for the home owners who’d been caused a lot of these issues that are quantified in our 5</w:t>
      </w:r>
      <w:r w:rsidR="00A2660B">
        <w:rPr>
          <w:rFonts w:ascii="Times Roman" w:hAnsi="Times Roman"/>
        </w:rPr>
        <w:t>0</w:t>
      </w:r>
      <w:r w:rsidRPr="00455E9A">
        <w:rPr>
          <w:rFonts w:ascii="Times Roman" w:hAnsi="Times Roman"/>
        </w:rPr>
        <w:t xml:space="preserve"> million Statement of Claim. It wasn’t any personal motive that I was after.</w:t>
      </w:r>
    </w:p>
    <w:p w14:paraId="34CAB278" w14:textId="45142A72" w:rsidR="00455E9A" w:rsidRPr="00455E9A" w:rsidRDefault="00A2660B" w:rsidP="00455E9A">
      <w:pPr>
        <w:pStyle w:val="ListParagraph"/>
        <w:numPr>
          <w:ilvl w:val="0"/>
          <w:numId w:val="1"/>
        </w:numPr>
        <w:shd w:val="clear" w:color="auto" w:fill="FFFFFF"/>
        <w:spacing w:after="120" w:line="360" w:lineRule="auto"/>
        <w:ind w:left="0" w:firstLine="0"/>
        <w:jc w:val="both"/>
        <w:rPr>
          <w:rFonts w:ascii="Times Roman" w:hAnsi="Times Roman"/>
        </w:rPr>
      </w:pPr>
      <w:r>
        <w:rPr>
          <w:rFonts w:ascii="Times Roman" w:hAnsi="Times Roman"/>
        </w:rPr>
        <w:t>Kalair’s actions again follow a now predictable theme.</w:t>
      </w:r>
      <w:r w:rsidR="00455E9A" w:rsidRPr="00455E9A">
        <w:rPr>
          <w:rFonts w:ascii="Times Roman" w:hAnsi="Times Roman"/>
        </w:rPr>
        <w:t xml:space="preserve"> Kalair</w:t>
      </w:r>
      <w:r>
        <w:rPr>
          <w:rFonts w:ascii="Times Roman" w:hAnsi="Times Roman"/>
        </w:rPr>
        <w:t xml:space="preserve">’s </w:t>
      </w:r>
      <w:r w:rsidR="00455E9A" w:rsidRPr="00455E9A">
        <w:rPr>
          <w:rFonts w:ascii="Times Roman" w:hAnsi="Times Roman"/>
        </w:rPr>
        <w:t>motivat</w:t>
      </w:r>
      <w:r>
        <w:rPr>
          <w:rFonts w:ascii="Times Roman" w:hAnsi="Times Roman"/>
        </w:rPr>
        <w:t>ion was always</w:t>
      </w:r>
      <w:r w:rsidR="00455E9A" w:rsidRPr="00455E9A">
        <w:rPr>
          <w:rFonts w:ascii="Times Roman" w:hAnsi="Times Roman"/>
        </w:rPr>
        <w:t xml:space="preserve"> to protect the interests of the Muslim community and his first priority was always to ensure that the financing remained </w:t>
      </w:r>
      <w:r>
        <w:rPr>
          <w:rFonts w:ascii="Times Roman" w:hAnsi="Times Roman"/>
        </w:rPr>
        <w:t>s</w:t>
      </w:r>
      <w:r w:rsidR="00455E9A" w:rsidRPr="00455E9A">
        <w:rPr>
          <w:rFonts w:ascii="Times Roman" w:hAnsi="Times Roman"/>
        </w:rPr>
        <w:t>haria compliant.</w:t>
      </w:r>
      <w:r>
        <w:rPr>
          <w:rFonts w:ascii="Times Roman" w:hAnsi="Times Roman"/>
        </w:rPr>
        <w:t xml:space="preserve"> The assignment of the civil claim</w:t>
      </w:r>
      <w:r w:rsidR="00455E9A" w:rsidRPr="00455E9A">
        <w:rPr>
          <w:rFonts w:ascii="Times Roman" w:hAnsi="Times Roman"/>
        </w:rPr>
        <w:t xml:space="preserve"> </w:t>
      </w:r>
      <w:r>
        <w:rPr>
          <w:rFonts w:ascii="Times Roman" w:hAnsi="Times Roman"/>
        </w:rPr>
        <w:t xml:space="preserve">was a further example of this commitment. </w:t>
      </w:r>
    </w:p>
    <w:p w14:paraId="5F2D857E" w14:textId="77777777" w:rsid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Once the precious metals were transferred and this claim was assigned, Mr. Kalair was of the view that UM had paid their debt and was no longer involved in the affairs of MCC.</w:t>
      </w:r>
      <w:r w:rsidRPr="00455E9A">
        <w:rPr>
          <w:rStyle w:val="FootnoteReference"/>
          <w:rFonts w:ascii="Times Roman" w:hAnsi="Times Roman"/>
        </w:rPr>
        <w:footnoteReference w:id="233"/>
      </w:r>
      <w:r w:rsidRPr="00455E9A">
        <w:rPr>
          <w:rFonts w:ascii="Times Roman" w:hAnsi="Times Roman"/>
        </w:rPr>
        <w:t xml:space="preserve"> </w:t>
      </w:r>
    </w:p>
    <w:p w14:paraId="7E470E41" w14:textId="77777777" w:rsidR="00EC1E4F" w:rsidRPr="00455E9A" w:rsidRDefault="00EC1E4F" w:rsidP="00EC1E4F">
      <w:pPr>
        <w:pStyle w:val="ListParagraph"/>
        <w:shd w:val="clear" w:color="auto" w:fill="FFFFFF"/>
        <w:spacing w:after="120" w:line="360" w:lineRule="auto"/>
        <w:ind w:left="0"/>
        <w:jc w:val="both"/>
        <w:rPr>
          <w:rFonts w:ascii="Times Roman" w:hAnsi="Times Roman"/>
        </w:rPr>
      </w:pPr>
    </w:p>
    <w:p w14:paraId="7067108B" w14:textId="77777777" w:rsidR="00455E9A" w:rsidRPr="00EC1E4F" w:rsidRDefault="00455E9A" w:rsidP="00EC1E4F">
      <w:pPr>
        <w:pStyle w:val="Heading4"/>
        <w:ind w:firstLine="720"/>
        <w:rPr>
          <w:color w:val="auto"/>
        </w:rPr>
      </w:pPr>
      <w:bookmarkStart w:id="54" w:name="_Toc411860422"/>
      <w:r w:rsidRPr="00EC1E4F">
        <w:rPr>
          <w:color w:val="auto"/>
        </w:rPr>
        <w:t>The Receivership</w:t>
      </w:r>
      <w:bookmarkEnd w:id="54"/>
    </w:p>
    <w:p w14:paraId="3CF29DE1" w14:textId="77777777" w:rsidR="00455E9A" w:rsidRPr="00455E9A" w:rsidRDefault="00455E9A" w:rsidP="00455E9A">
      <w:pPr>
        <w:rPr>
          <w:rFonts w:ascii="Times Roman" w:hAnsi="Times Roman"/>
        </w:rPr>
      </w:pPr>
    </w:p>
    <w:p w14:paraId="429FA478" w14:textId="11CCC7D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lastRenderedPageBreak/>
        <w:t>After UM was placed into receivership, Mr. Kalair and UM were in a state of chaos. Not only were there angry investors, but very angry homeowners as well. A group of six homeowners went so far as to retain their own legal counsel.</w:t>
      </w:r>
      <w:r w:rsidRPr="00455E9A">
        <w:rPr>
          <w:rStyle w:val="FootnoteReference"/>
          <w:rFonts w:ascii="Times Roman" w:hAnsi="Times Roman"/>
        </w:rPr>
        <w:footnoteReference w:id="234"/>
      </w:r>
      <w:r w:rsidRPr="00455E9A">
        <w:rPr>
          <w:rFonts w:ascii="Times Roman" w:hAnsi="Times Roman"/>
        </w:rPr>
        <w:t xml:space="preserve">  These homeowners felt as though they were being forced to accept non-Sharia compliant financing. Mr. Kalair </w:t>
      </w:r>
      <w:r w:rsidR="00A2660B">
        <w:rPr>
          <w:rFonts w:ascii="Times Roman" w:hAnsi="Times Roman"/>
        </w:rPr>
        <w:t>theorized</w:t>
      </w:r>
      <w:r w:rsidRPr="00455E9A">
        <w:rPr>
          <w:rFonts w:ascii="Times Roman" w:hAnsi="Times Roman"/>
        </w:rPr>
        <w:t xml:space="preserve"> that it was this </w:t>
      </w:r>
      <w:r w:rsidR="00A2660B">
        <w:rPr>
          <w:rFonts w:ascii="Times Roman" w:hAnsi="Times Roman"/>
        </w:rPr>
        <w:t xml:space="preserve">dissident </w:t>
      </w:r>
      <w:r w:rsidRPr="00455E9A">
        <w:rPr>
          <w:rFonts w:ascii="Times Roman" w:hAnsi="Times Roman"/>
        </w:rPr>
        <w:t>group of homeowners who sent the mys</w:t>
      </w:r>
      <w:r w:rsidR="00A2660B">
        <w:rPr>
          <w:rFonts w:ascii="Times Roman" w:hAnsi="Times Roman"/>
        </w:rPr>
        <w:t>t</w:t>
      </w:r>
      <w:r w:rsidRPr="00455E9A">
        <w:rPr>
          <w:rFonts w:ascii="Times Roman" w:hAnsi="Times Roman"/>
        </w:rPr>
        <w:t>ery emails from “info@creditunionandumfinancial.com”.</w:t>
      </w:r>
      <w:r w:rsidRPr="00455E9A">
        <w:rPr>
          <w:rStyle w:val="FootnoteReference"/>
          <w:rFonts w:ascii="Times Roman" w:hAnsi="Times Roman"/>
        </w:rPr>
        <w:footnoteReference w:id="235"/>
      </w:r>
      <w:r w:rsidRPr="00455E9A">
        <w:rPr>
          <w:rFonts w:ascii="Times Roman" w:hAnsi="Times Roman"/>
        </w:rPr>
        <w:t xml:space="preserve">  Regardless of who sent these emails, there is absolutely no evidence before the court that suggests that they were sent by Mr. Kalair.</w:t>
      </w:r>
    </w:p>
    <w:p w14:paraId="0175605F" w14:textId="7777777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On November 1, 2011, Mr. Adam transferred the silver back to Mr. Kalair and Mr. Kalair in turn transferred it to Mr. Panchbhaya. It was Mr. Kalair’s understanding that the silver was to be kept for payment to the local scholars and the gold was to be paid to the international scholars.</w:t>
      </w:r>
      <w:r w:rsidRPr="00455E9A">
        <w:rPr>
          <w:rStyle w:val="FootnoteReference"/>
          <w:rFonts w:ascii="Times Roman" w:hAnsi="Times Roman"/>
        </w:rPr>
        <w:footnoteReference w:id="236"/>
      </w:r>
      <w:r w:rsidRPr="00455E9A">
        <w:rPr>
          <w:rFonts w:ascii="Times Roman" w:hAnsi="Times Roman"/>
        </w:rPr>
        <w:t xml:space="preserve"> </w:t>
      </w:r>
    </w:p>
    <w:p w14:paraId="0EFEC8A6" w14:textId="7777777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It was not until Mr. Siddiqui informed Mr. Kalair that the precious metals needed to be returned that he suspected that there may have been something wrong with the transaction.</w:t>
      </w:r>
      <w:r w:rsidRPr="00455E9A">
        <w:rPr>
          <w:rStyle w:val="FootnoteReference"/>
          <w:rFonts w:ascii="Times Roman" w:hAnsi="Times Roman"/>
        </w:rPr>
        <w:footnoteReference w:id="237"/>
      </w:r>
      <w:r w:rsidRPr="00455E9A">
        <w:rPr>
          <w:rFonts w:ascii="Times Roman" w:hAnsi="Times Roman"/>
        </w:rPr>
        <w:t xml:space="preserve">  Mr. Siddiqui began to look and act increasingly nervous and Mr. Kalair believed he was attempting to remove himself from the file completely.</w:t>
      </w:r>
      <w:r w:rsidRPr="00455E9A">
        <w:rPr>
          <w:rStyle w:val="FootnoteReference"/>
          <w:rFonts w:ascii="Times Roman" w:hAnsi="Times Roman"/>
        </w:rPr>
        <w:footnoteReference w:id="238"/>
      </w:r>
      <w:r w:rsidRPr="00455E9A">
        <w:rPr>
          <w:rFonts w:ascii="Times Roman" w:hAnsi="Times Roman"/>
        </w:rPr>
        <w:t xml:space="preserve"> </w:t>
      </w:r>
    </w:p>
    <w:p w14:paraId="5F643B41" w14:textId="77777777"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According to Mr. Kalair, Mr. Siddiqui never questioned him about the whereabouts of the gold.</w:t>
      </w:r>
      <w:r w:rsidRPr="00455E9A">
        <w:rPr>
          <w:rStyle w:val="FootnoteReference"/>
          <w:rFonts w:ascii="Times Roman" w:hAnsi="Times Roman"/>
        </w:rPr>
        <w:footnoteReference w:id="239"/>
      </w:r>
      <w:r w:rsidRPr="00455E9A">
        <w:rPr>
          <w:rFonts w:ascii="Times Roman" w:hAnsi="Times Roman"/>
        </w:rPr>
        <w:t xml:space="preserve"> </w:t>
      </w:r>
    </w:p>
    <w:p w14:paraId="234225BD" w14:textId="09E3ED35"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By the time the court ordered the return of the precious metals, Mr. Kalair</w:t>
      </w:r>
      <w:r w:rsidR="00A2660B">
        <w:rPr>
          <w:rFonts w:ascii="Times Roman" w:hAnsi="Times Roman"/>
        </w:rPr>
        <w:t>’s understanding was that</w:t>
      </w:r>
      <w:r w:rsidRPr="00455E9A">
        <w:rPr>
          <w:rStyle w:val="FootnoteReference"/>
          <w:rFonts w:ascii="Times Roman" w:hAnsi="Times Roman"/>
        </w:rPr>
        <w:footnoteReference w:id="240"/>
      </w:r>
      <w:r w:rsidRPr="00455E9A">
        <w:rPr>
          <w:rFonts w:ascii="Times Roman" w:hAnsi="Times Roman"/>
        </w:rPr>
        <w:t>:</w:t>
      </w:r>
    </w:p>
    <w:p w14:paraId="3BAE7BDB"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A. Joseph Adam had already left and he was already in Egypt and he had already disbursed the funds. So in my discussion with Mufti Yusuf is that when he tried, or the information that he had, I don’t know where he gained it from was that everything was already distributed before any court Order was in place.</w:t>
      </w:r>
    </w:p>
    <w:p w14:paraId="2FD2633E"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3535FD78" w14:textId="77777777" w:rsidR="00455E9A" w:rsidRPr="00455E9A" w:rsidRDefault="00455E9A" w:rsidP="00455E9A">
      <w:pPr>
        <w:pStyle w:val="ListParagraph"/>
        <w:shd w:val="clear" w:color="auto" w:fill="FFFFFF"/>
        <w:spacing w:after="120" w:line="360" w:lineRule="auto"/>
        <w:ind w:left="0" w:firstLine="720"/>
        <w:jc w:val="both"/>
        <w:rPr>
          <w:rFonts w:ascii="Times Roman" w:hAnsi="Times Roman"/>
        </w:rPr>
      </w:pPr>
      <w:r w:rsidRPr="00455E9A">
        <w:rPr>
          <w:rFonts w:ascii="Times Roman" w:hAnsi="Times Roman"/>
        </w:rPr>
        <w:lastRenderedPageBreak/>
        <w:t xml:space="preserve">Q. Were you in a position to make any efforts to recover the gold? </w:t>
      </w:r>
    </w:p>
    <w:p w14:paraId="7349A40E" w14:textId="77777777" w:rsidR="00455E9A" w:rsidRPr="00455E9A" w:rsidRDefault="00455E9A" w:rsidP="00455E9A">
      <w:pPr>
        <w:pStyle w:val="ListParagraph"/>
        <w:shd w:val="clear" w:color="auto" w:fill="FFFFFF"/>
        <w:spacing w:after="120" w:line="360" w:lineRule="auto"/>
        <w:ind w:left="0"/>
        <w:jc w:val="both"/>
        <w:rPr>
          <w:rFonts w:ascii="Times Roman" w:hAnsi="Times Roman"/>
        </w:rPr>
      </w:pPr>
    </w:p>
    <w:p w14:paraId="6B27A784" w14:textId="77777777" w:rsidR="00455E9A" w:rsidRPr="00455E9A" w:rsidRDefault="00455E9A" w:rsidP="00455E9A">
      <w:pPr>
        <w:pStyle w:val="ListParagraph"/>
        <w:shd w:val="clear" w:color="auto" w:fill="FFFFFF"/>
        <w:spacing w:after="120" w:line="360" w:lineRule="auto"/>
        <w:jc w:val="both"/>
        <w:rPr>
          <w:rFonts w:ascii="Times Roman" w:hAnsi="Times Roman"/>
        </w:rPr>
      </w:pPr>
      <w:r w:rsidRPr="00455E9A">
        <w:rPr>
          <w:rFonts w:ascii="Times Roman" w:hAnsi="Times Roman"/>
        </w:rPr>
        <w:t>A. No, so again, Joseph Adam was appointed by MCC. He was a Finance Manager, so MCC would have the onus to inquire or push for that.</w:t>
      </w:r>
    </w:p>
    <w:p w14:paraId="33B33AA6" w14:textId="2EA37959" w:rsidR="00455E9A" w:rsidRPr="00455E9A" w:rsidRDefault="00455E9A" w:rsidP="00455E9A">
      <w:pPr>
        <w:pStyle w:val="ListParagraph"/>
        <w:numPr>
          <w:ilvl w:val="0"/>
          <w:numId w:val="1"/>
        </w:numPr>
        <w:shd w:val="clear" w:color="auto" w:fill="FFFFFF"/>
        <w:spacing w:after="120" w:line="360" w:lineRule="auto"/>
        <w:ind w:left="0" w:firstLine="0"/>
        <w:jc w:val="both"/>
        <w:rPr>
          <w:rFonts w:ascii="Times Roman" w:hAnsi="Times Roman"/>
        </w:rPr>
      </w:pPr>
      <w:r w:rsidRPr="00455E9A">
        <w:rPr>
          <w:rFonts w:ascii="Times Roman" w:hAnsi="Times Roman"/>
        </w:rPr>
        <w:t>In December of 2011, UM received a cheque in the amount of approximately $100,000.00</w:t>
      </w:r>
      <w:r w:rsidRPr="00455E9A">
        <w:rPr>
          <w:rStyle w:val="FootnoteReference"/>
          <w:rFonts w:ascii="Times Roman" w:hAnsi="Times Roman"/>
        </w:rPr>
        <w:footnoteReference w:id="241"/>
      </w:r>
      <w:r w:rsidRPr="00455E9A">
        <w:rPr>
          <w:rFonts w:ascii="Times Roman" w:hAnsi="Times Roman"/>
        </w:rPr>
        <w:t>.  It was received in error, as it should have been sent to the receiver.  Rather than to do anything improper with this cheque, Mr. Kalair, in good faith, instructed his staff to send it back to Central.</w:t>
      </w:r>
      <w:r w:rsidRPr="00455E9A">
        <w:rPr>
          <w:rStyle w:val="FootnoteReference"/>
          <w:rFonts w:ascii="Times Roman" w:hAnsi="Times Roman"/>
        </w:rPr>
        <w:footnoteReference w:id="242"/>
      </w:r>
      <w:r w:rsidRPr="00455E9A">
        <w:rPr>
          <w:rFonts w:ascii="Times Roman" w:hAnsi="Times Roman"/>
        </w:rPr>
        <w:t xml:space="preserve">  If Mr. Kalair truly had a personal vendetta against Central as the Crown alleges, certainly this particular transaction would have gone differently.</w:t>
      </w:r>
      <w:r w:rsidRPr="00455E9A">
        <w:rPr>
          <w:rStyle w:val="FootnoteReference"/>
          <w:rFonts w:ascii="Times Roman" w:hAnsi="Times Roman"/>
        </w:rPr>
        <w:footnoteReference w:id="243"/>
      </w:r>
      <w:r w:rsidRPr="00455E9A">
        <w:rPr>
          <w:rFonts w:ascii="Times Roman" w:hAnsi="Times Roman"/>
        </w:rPr>
        <w:t xml:space="preserve"> </w:t>
      </w:r>
      <w:r w:rsidR="00A2660B">
        <w:rPr>
          <w:rFonts w:ascii="Times Roman" w:hAnsi="Times Roman"/>
        </w:rPr>
        <w:t>Along with the repeated proposals by Kalair to pledge his own home as collateral in support of UM, Kalair’s return of this cheque belies any claims of persistently deceitful and dishonest conduct.</w:t>
      </w:r>
    </w:p>
    <w:p w14:paraId="793070D3" w14:textId="77777777" w:rsidR="00455E9A" w:rsidRPr="00455E9A" w:rsidRDefault="00455E9A" w:rsidP="00455E9A">
      <w:pPr>
        <w:pStyle w:val="ListParagraph"/>
        <w:shd w:val="clear" w:color="auto" w:fill="FFFFFF"/>
        <w:spacing w:after="120" w:line="360" w:lineRule="auto"/>
        <w:ind w:left="0"/>
        <w:contextualSpacing w:val="0"/>
        <w:jc w:val="both"/>
        <w:rPr>
          <w:rFonts w:ascii="Times Roman" w:hAnsi="Times Roman"/>
          <w:lang w:val="en-GB"/>
        </w:rPr>
      </w:pPr>
    </w:p>
    <w:p w14:paraId="5C977ED9" w14:textId="7E9D7521" w:rsidR="00455E9A" w:rsidRPr="008B0879" w:rsidRDefault="00455E9A" w:rsidP="008B0879">
      <w:pPr>
        <w:pStyle w:val="Heading1"/>
        <w:spacing w:before="0" w:after="120" w:line="360" w:lineRule="auto"/>
        <w:jc w:val="both"/>
        <w:rPr>
          <w:rFonts w:ascii="Times" w:hAnsi="Times" w:cs="Times"/>
          <w:color w:val="auto"/>
        </w:rPr>
      </w:pPr>
      <w:bookmarkStart w:id="55" w:name="_Toc411860423"/>
      <w:r w:rsidRPr="005061AC">
        <w:rPr>
          <w:rFonts w:ascii="Times" w:hAnsi="Times" w:cs="Times"/>
          <w:color w:val="auto"/>
        </w:rPr>
        <w:t>VI. Conclusion</w:t>
      </w:r>
      <w:bookmarkEnd w:id="55"/>
      <w:r w:rsidRPr="005061AC">
        <w:rPr>
          <w:rFonts w:ascii="Times" w:hAnsi="Times" w:cs="Times"/>
          <w:color w:val="auto"/>
        </w:rPr>
        <w:t xml:space="preserve"> </w:t>
      </w:r>
    </w:p>
    <w:p w14:paraId="2FF71ED9" w14:textId="0EF7DC22" w:rsidR="00EA0D07" w:rsidRDefault="004850DA"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Crown seeks to prosecute in criminal court, a matter that rightly belongs in civil court or bankruptcy court. C1 entered into a business relationship with UM that was predicated on Islamic Finance and Sharia Law with the goal of profiting off of a large and growing Muslin population in Canada. </w:t>
      </w:r>
      <w:r w:rsidR="001462D0">
        <w:rPr>
          <w:rFonts w:ascii="Times Roman" w:hAnsi="Times Roman"/>
          <w:lang w:val="en-GB"/>
        </w:rPr>
        <w:t>With the departure of Mr.</w:t>
      </w:r>
      <w:r w:rsidRPr="004850DA">
        <w:rPr>
          <w:rFonts w:ascii="Times Roman" w:hAnsi="Times Roman"/>
          <w:lang w:val="en-GB"/>
        </w:rPr>
        <w:t xml:space="preserve"> Lohmueller, C1 resorted to t</w:t>
      </w:r>
      <w:r w:rsidR="00850386">
        <w:rPr>
          <w:rFonts w:ascii="Times Roman" w:hAnsi="Times Roman"/>
          <w:lang w:val="en-GB"/>
        </w:rPr>
        <w:t>raditonal</w:t>
      </w:r>
      <w:r w:rsidRPr="004850DA">
        <w:rPr>
          <w:rFonts w:ascii="Times Roman" w:hAnsi="Times Roman"/>
          <w:lang w:val="en-GB"/>
        </w:rPr>
        <w:t xml:space="preserve"> contract interpretation and processes. It was a unilateral change that fundamentally </w:t>
      </w:r>
      <w:r w:rsidR="00A2660B">
        <w:rPr>
          <w:rFonts w:ascii="Times Roman" w:hAnsi="Times Roman"/>
          <w:lang w:val="en-GB"/>
        </w:rPr>
        <w:t>altered</w:t>
      </w:r>
      <w:r w:rsidRPr="004850DA">
        <w:rPr>
          <w:rFonts w:ascii="Times Roman" w:hAnsi="Times Roman"/>
          <w:lang w:val="en-GB"/>
        </w:rPr>
        <w:t xml:space="preserve"> the nature of the relationship</w:t>
      </w:r>
      <w:r w:rsidR="00876060">
        <w:rPr>
          <w:rFonts w:ascii="Times Roman" w:hAnsi="Times Roman"/>
          <w:lang w:val="en-GB"/>
        </w:rPr>
        <w:t xml:space="preserve"> – a change that was never communicated to C1’s partner, UM.</w:t>
      </w:r>
    </w:p>
    <w:p w14:paraId="2CFC3A77" w14:textId="71500354" w:rsidR="004850DA" w:rsidRDefault="004850DA"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Rather than respond to the </w:t>
      </w:r>
      <w:r w:rsidR="00876060">
        <w:rPr>
          <w:rFonts w:ascii="Times Roman" w:hAnsi="Times Roman"/>
          <w:lang w:val="en-GB"/>
        </w:rPr>
        <w:t>$</w:t>
      </w:r>
      <w:r>
        <w:rPr>
          <w:rFonts w:ascii="Times Roman" w:hAnsi="Times Roman"/>
          <w:lang w:val="en-GB"/>
        </w:rPr>
        <w:t xml:space="preserve">50 million dollar Statement of Claim </w:t>
      </w:r>
      <w:r w:rsidR="00876060">
        <w:rPr>
          <w:rFonts w:ascii="Times Roman" w:hAnsi="Times Roman"/>
          <w:lang w:val="en-GB"/>
        </w:rPr>
        <w:t>(</w:t>
      </w:r>
      <w:r>
        <w:rPr>
          <w:rFonts w:ascii="Times Roman" w:hAnsi="Times Roman"/>
          <w:lang w:val="en-GB"/>
        </w:rPr>
        <w:t>and count</w:t>
      </w:r>
      <w:r w:rsidR="00876060">
        <w:rPr>
          <w:rFonts w:ascii="Times Roman" w:hAnsi="Times Roman"/>
          <w:lang w:val="en-GB"/>
        </w:rPr>
        <w:t>-claim if they felt aggrieved)</w:t>
      </w:r>
      <w:r>
        <w:rPr>
          <w:rFonts w:ascii="Times Roman" w:hAnsi="Times Roman"/>
          <w:lang w:val="en-GB"/>
        </w:rPr>
        <w:t xml:space="preserve">, C1 resorted to insolvency court </w:t>
      </w:r>
      <w:r w:rsidR="00876060">
        <w:rPr>
          <w:rFonts w:ascii="Times Roman" w:hAnsi="Times Roman"/>
          <w:lang w:val="en-GB"/>
        </w:rPr>
        <w:t xml:space="preserve">where they could more quickly and efficiently rid themselves of a claim that might have proven costly and embarrassing in civil court. C1 </w:t>
      </w:r>
      <w:r>
        <w:rPr>
          <w:rFonts w:ascii="Times Roman" w:hAnsi="Times Roman"/>
          <w:lang w:val="en-GB"/>
        </w:rPr>
        <w:t>directed G</w:t>
      </w:r>
      <w:r w:rsidR="00876060">
        <w:rPr>
          <w:rFonts w:ascii="Times Roman" w:hAnsi="Times Roman"/>
          <w:lang w:val="en-GB"/>
        </w:rPr>
        <w:t>TL</w:t>
      </w:r>
      <w:r>
        <w:rPr>
          <w:rFonts w:ascii="Times Roman" w:hAnsi="Times Roman"/>
          <w:lang w:val="en-GB"/>
        </w:rPr>
        <w:t xml:space="preserve">’s actions at every turn. </w:t>
      </w:r>
      <w:r w:rsidR="00876060">
        <w:rPr>
          <w:rFonts w:ascii="Times Roman" w:hAnsi="Times Roman"/>
          <w:lang w:val="en-GB"/>
        </w:rPr>
        <w:t>Neither C</w:t>
      </w:r>
      <w:r>
        <w:rPr>
          <w:rFonts w:ascii="Times Roman" w:hAnsi="Times Roman"/>
          <w:lang w:val="en-GB"/>
        </w:rPr>
        <w:t>1, G</w:t>
      </w:r>
      <w:r w:rsidR="00876060">
        <w:rPr>
          <w:rFonts w:ascii="Times Roman" w:hAnsi="Times Roman"/>
          <w:lang w:val="en-GB"/>
        </w:rPr>
        <w:t xml:space="preserve">TL, </w:t>
      </w:r>
      <w:r>
        <w:rPr>
          <w:rFonts w:ascii="Times Roman" w:hAnsi="Times Roman"/>
          <w:lang w:val="en-GB"/>
        </w:rPr>
        <w:t xml:space="preserve">nor </w:t>
      </w:r>
      <w:r w:rsidR="00876060">
        <w:rPr>
          <w:rFonts w:ascii="Times Roman" w:hAnsi="Times Roman"/>
          <w:lang w:val="en-GB"/>
        </w:rPr>
        <w:t xml:space="preserve">a single </w:t>
      </w:r>
      <w:r>
        <w:rPr>
          <w:rFonts w:ascii="Times Roman" w:hAnsi="Times Roman"/>
          <w:lang w:val="en-GB"/>
        </w:rPr>
        <w:t xml:space="preserve">homeowner </w:t>
      </w:r>
      <w:r w:rsidR="00876060">
        <w:rPr>
          <w:rFonts w:ascii="Times Roman" w:hAnsi="Times Roman"/>
          <w:lang w:val="en-GB"/>
        </w:rPr>
        <w:t>testified</w:t>
      </w:r>
      <w:r>
        <w:rPr>
          <w:rFonts w:ascii="Times Roman" w:hAnsi="Times Roman"/>
          <w:lang w:val="en-GB"/>
        </w:rPr>
        <w:t xml:space="preserve"> to filing</w:t>
      </w:r>
      <w:r w:rsidR="00876060">
        <w:rPr>
          <w:rFonts w:ascii="Times Roman" w:hAnsi="Times Roman"/>
          <w:lang w:val="en-GB"/>
        </w:rPr>
        <w:t xml:space="preserve"> a</w:t>
      </w:r>
      <w:r>
        <w:rPr>
          <w:rFonts w:ascii="Times Roman" w:hAnsi="Times Roman"/>
          <w:lang w:val="en-GB"/>
        </w:rPr>
        <w:t xml:space="preserve"> criminal complaint. That action was taken </w:t>
      </w:r>
      <w:r w:rsidR="00876060">
        <w:rPr>
          <w:rFonts w:ascii="Times Roman" w:hAnsi="Times Roman"/>
          <w:lang w:val="en-GB"/>
        </w:rPr>
        <w:lastRenderedPageBreak/>
        <w:t xml:space="preserve">solely </w:t>
      </w:r>
      <w:r>
        <w:rPr>
          <w:rFonts w:ascii="Times Roman" w:hAnsi="Times Roman"/>
          <w:lang w:val="en-GB"/>
        </w:rPr>
        <w:t xml:space="preserve">by the Ontario Superintendent </w:t>
      </w:r>
      <w:r w:rsidR="00A2660B">
        <w:rPr>
          <w:rFonts w:ascii="Times Roman" w:hAnsi="Times Roman"/>
          <w:lang w:val="en-GB"/>
        </w:rPr>
        <w:t>in</w:t>
      </w:r>
      <w:r>
        <w:rPr>
          <w:rFonts w:ascii="Times Roman" w:hAnsi="Times Roman"/>
          <w:lang w:val="en-GB"/>
        </w:rPr>
        <w:t xml:space="preserve"> Bankruptcy years after the receivership and after C1 had sold, closed or </w:t>
      </w:r>
      <w:r w:rsidR="00A2660B">
        <w:rPr>
          <w:rFonts w:ascii="Times Roman" w:hAnsi="Times Roman"/>
          <w:lang w:val="en-GB"/>
        </w:rPr>
        <w:t>re</w:t>
      </w:r>
      <w:r>
        <w:rPr>
          <w:rFonts w:ascii="Times Roman" w:hAnsi="Times Roman"/>
          <w:lang w:val="en-GB"/>
        </w:rPr>
        <w:t xml:space="preserve">negotiated the mortgages at issue. </w:t>
      </w:r>
    </w:p>
    <w:p w14:paraId="377E02D7" w14:textId="075F568E" w:rsidR="004850DA" w:rsidRDefault="004850DA"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At all times the relationship between Central 1 and UM was predicated on the Islamic Finance </w:t>
      </w:r>
      <w:r w:rsidR="00F72B13">
        <w:rPr>
          <w:rFonts w:ascii="Times Roman" w:hAnsi="Times Roman"/>
          <w:lang w:val="en-GB"/>
        </w:rPr>
        <w:t xml:space="preserve">concept of Mudarabah. </w:t>
      </w:r>
      <w:r w:rsidR="00876060">
        <w:rPr>
          <w:rFonts w:ascii="Times Roman" w:hAnsi="Times Roman"/>
          <w:lang w:val="en-GB"/>
        </w:rPr>
        <w:t>C</w:t>
      </w:r>
      <w:r w:rsidR="00F72B13">
        <w:rPr>
          <w:rFonts w:ascii="Times Roman" w:hAnsi="Times Roman"/>
          <w:lang w:val="en-GB"/>
        </w:rPr>
        <w:t xml:space="preserve">1 was intended to be a partner with </w:t>
      </w:r>
      <w:r w:rsidR="00876060">
        <w:rPr>
          <w:rFonts w:ascii="Times Roman" w:hAnsi="Times Roman"/>
          <w:lang w:val="en-GB"/>
        </w:rPr>
        <w:t>‘</w:t>
      </w:r>
      <w:r w:rsidR="00F72B13">
        <w:rPr>
          <w:rFonts w:ascii="Times Roman" w:hAnsi="Times Roman"/>
          <w:lang w:val="en-GB"/>
        </w:rPr>
        <w:t>skin in the game</w:t>
      </w:r>
      <w:r w:rsidR="00876060">
        <w:rPr>
          <w:rFonts w:ascii="Times Roman" w:hAnsi="Times Roman"/>
          <w:lang w:val="en-GB"/>
        </w:rPr>
        <w:t>’</w:t>
      </w:r>
      <w:r w:rsidR="00F72B13">
        <w:rPr>
          <w:rFonts w:ascii="Times Roman" w:hAnsi="Times Roman"/>
          <w:lang w:val="en-GB"/>
        </w:rPr>
        <w:t xml:space="preserve"> and not a leech syphoning </w:t>
      </w:r>
      <w:r w:rsidR="00876060">
        <w:rPr>
          <w:rFonts w:ascii="Times Roman" w:hAnsi="Times Roman"/>
          <w:lang w:val="en-GB"/>
        </w:rPr>
        <w:t xml:space="preserve">interest </w:t>
      </w:r>
      <w:r w:rsidR="00F72B13">
        <w:rPr>
          <w:rFonts w:ascii="Times Roman" w:hAnsi="Times Roman"/>
          <w:lang w:val="en-GB"/>
        </w:rPr>
        <w:t>dollar</w:t>
      </w:r>
      <w:r w:rsidR="00876060">
        <w:rPr>
          <w:rFonts w:ascii="Times Roman" w:hAnsi="Times Roman"/>
          <w:lang w:val="en-GB"/>
        </w:rPr>
        <w:t>s and administrative fees</w:t>
      </w:r>
      <w:r w:rsidR="00F72B13">
        <w:rPr>
          <w:rFonts w:ascii="Times Roman" w:hAnsi="Times Roman"/>
          <w:lang w:val="en-GB"/>
        </w:rPr>
        <w:t xml:space="preserve"> from UM and </w:t>
      </w:r>
      <w:r w:rsidR="00876060">
        <w:rPr>
          <w:rFonts w:ascii="Times Roman" w:hAnsi="Times Roman"/>
          <w:lang w:val="en-GB"/>
        </w:rPr>
        <w:t>its</w:t>
      </w:r>
      <w:r w:rsidR="00F72B13">
        <w:rPr>
          <w:rFonts w:ascii="Times Roman" w:hAnsi="Times Roman"/>
          <w:lang w:val="en-GB"/>
        </w:rPr>
        <w:t xml:space="preserve"> homeowners. It was C1 who changed the rules in the mi</w:t>
      </w:r>
      <w:r w:rsidR="00876060">
        <w:rPr>
          <w:rFonts w:ascii="Times Roman" w:hAnsi="Times Roman"/>
          <w:lang w:val="en-GB"/>
        </w:rPr>
        <w:t>d-</w:t>
      </w:r>
      <w:r w:rsidR="00F72B13">
        <w:rPr>
          <w:rFonts w:ascii="Times Roman" w:hAnsi="Times Roman"/>
          <w:lang w:val="en-GB"/>
        </w:rPr>
        <w:t xml:space="preserve">game </w:t>
      </w:r>
      <w:r w:rsidR="00876060">
        <w:rPr>
          <w:rFonts w:ascii="Times Roman" w:hAnsi="Times Roman"/>
          <w:lang w:val="en-GB"/>
        </w:rPr>
        <w:t>leaving</w:t>
      </w:r>
      <w:r w:rsidR="00F72B13">
        <w:rPr>
          <w:rFonts w:ascii="Times Roman" w:hAnsi="Times Roman"/>
          <w:lang w:val="en-GB"/>
        </w:rPr>
        <w:t xml:space="preserve"> UM </w:t>
      </w:r>
      <w:r w:rsidR="00876060">
        <w:rPr>
          <w:rFonts w:ascii="Times Roman" w:hAnsi="Times Roman"/>
          <w:lang w:val="en-GB"/>
        </w:rPr>
        <w:t xml:space="preserve">holding the bag of </w:t>
      </w:r>
      <w:r w:rsidR="00F72B13">
        <w:rPr>
          <w:rFonts w:ascii="Times Roman" w:hAnsi="Times Roman"/>
          <w:lang w:val="en-GB"/>
        </w:rPr>
        <w:t>expenditures</w:t>
      </w:r>
      <w:r w:rsidR="00876060">
        <w:rPr>
          <w:rFonts w:ascii="Times Roman" w:hAnsi="Times Roman"/>
          <w:lang w:val="en-GB"/>
        </w:rPr>
        <w:t>, including those associated with the costs of their unique sharia-compliant structure</w:t>
      </w:r>
      <w:r w:rsidR="00F72B13">
        <w:rPr>
          <w:rFonts w:ascii="Times Roman" w:hAnsi="Times Roman"/>
          <w:lang w:val="en-GB"/>
        </w:rPr>
        <w:t>. Whereas the Crown claims</w:t>
      </w:r>
      <w:r w:rsidR="00F72B13">
        <w:rPr>
          <w:rStyle w:val="FootnoteReference"/>
          <w:rFonts w:ascii="Times Roman" w:hAnsi="Times Roman"/>
          <w:lang w:val="en-GB"/>
        </w:rPr>
        <w:footnoteReference w:id="244"/>
      </w:r>
      <w:r w:rsidR="00F72B13">
        <w:rPr>
          <w:rFonts w:ascii="Times Roman" w:hAnsi="Times Roman"/>
          <w:lang w:val="en-GB"/>
        </w:rPr>
        <w:t xml:space="preserve"> that Mr. Kalair avoided all efforts to cooperate with the receiver, the extensive documents, emails exchange</w:t>
      </w:r>
      <w:r w:rsidR="00A2660B">
        <w:rPr>
          <w:rFonts w:ascii="Times Roman" w:hAnsi="Times Roman"/>
          <w:lang w:val="en-GB"/>
        </w:rPr>
        <w:t>s</w:t>
      </w:r>
      <w:r w:rsidR="00F72B13">
        <w:rPr>
          <w:rFonts w:ascii="Times Roman" w:hAnsi="Times Roman"/>
          <w:lang w:val="en-GB"/>
        </w:rPr>
        <w:t>, and viva voce evidence demonstrate that Mr. Kalair spent dozens, if not hundreds of hours communicating by email, telephone and meeting with G</w:t>
      </w:r>
      <w:r w:rsidR="00876060">
        <w:rPr>
          <w:rFonts w:ascii="Times Roman" w:hAnsi="Times Roman"/>
          <w:lang w:val="en-GB"/>
        </w:rPr>
        <w:t>TL</w:t>
      </w:r>
      <w:r w:rsidR="00F72B13">
        <w:rPr>
          <w:rFonts w:ascii="Times Roman" w:hAnsi="Times Roman"/>
          <w:lang w:val="en-GB"/>
        </w:rPr>
        <w:t xml:space="preserve"> </w:t>
      </w:r>
      <w:r w:rsidR="00876060">
        <w:rPr>
          <w:rFonts w:ascii="Times Roman" w:hAnsi="Times Roman"/>
          <w:lang w:val="en-GB"/>
        </w:rPr>
        <w:t xml:space="preserve">and the Superintendent in Bankruptcy </w:t>
      </w:r>
      <w:r w:rsidR="00F72B13">
        <w:rPr>
          <w:rFonts w:ascii="Times Roman" w:hAnsi="Times Roman"/>
          <w:lang w:val="en-GB"/>
        </w:rPr>
        <w:t xml:space="preserve">to respond to their requests. </w:t>
      </w:r>
    </w:p>
    <w:p w14:paraId="179B262E" w14:textId="254A0FB2" w:rsidR="00F72B13" w:rsidRDefault="00F72B13" w:rsidP="00C87CF5">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 xml:space="preserve">The Crown </w:t>
      </w:r>
      <w:r w:rsidR="00876060">
        <w:rPr>
          <w:rFonts w:ascii="Times Roman" w:hAnsi="Times Roman"/>
          <w:lang w:val="en-GB"/>
        </w:rPr>
        <w:t>asserts</w:t>
      </w:r>
      <w:r>
        <w:rPr>
          <w:rFonts w:ascii="Times Roman" w:hAnsi="Times Roman"/>
          <w:lang w:val="en-GB"/>
        </w:rPr>
        <w:t xml:space="preserve"> at paragraph 326 that the reliance upon </w:t>
      </w:r>
      <w:r w:rsidR="00876060">
        <w:rPr>
          <w:rFonts w:ascii="Times Roman" w:hAnsi="Times Roman"/>
          <w:lang w:val="en-GB"/>
        </w:rPr>
        <w:t>s</w:t>
      </w:r>
      <w:r>
        <w:rPr>
          <w:rFonts w:ascii="Times Roman" w:hAnsi="Times Roman"/>
          <w:lang w:val="en-GB"/>
        </w:rPr>
        <w:t xml:space="preserve">haria law was “recently conjured up”, </w:t>
      </w:r>
      <w:r w:rsidR="00876060">
        <w:rPr>
          <w:rFonts w:ascii="Times Roman" w:hAnsi="Times Roman"/>
          <w:lang w:val="en-GB"/>
        </w:rPr>
        <w:t xml:space="preserve">yet the vast preponderance of the </w:t>
      </w:r>
      <w:r>
        <w:rPr>
          <w:rFonts w:ascii="Times Roman" w:hAnsi="Times Roman"/>
          <w:lang w:val="en-GB"/>
        </w:rPr>
        <w:t xml:space="preserve">evidence suggests otherwise. </w:t>
      </w:r>
      <w:r w:rsidR="00876060">
        <w:rPr>
          <w:rFonts w:ascii="Times Roman" w:hAnsi="Times Roman"/>
          <w:lang w:val="en-GB"/>
        </w:rPr>
        <w:t xml:space="preserve">Far from being a late-day invention to camouflage deceitful behaviour, sharia compliance was the heart of everything Mr. Kalair did </w:t>
      </w:r>
      <w:r w:rsidR="00A20C0D">
        <w:rPr>
          <w:rFonts w:ascii="Times Roman" w:hAnsi="Times Roman"/>
          <w:lang w:val="en-GB"/>
        </w:rPr>
        <w:t>from the very birth of UM and it was the at the very foundation of the early business relationship with C1, as demonstrated by the history of the early contract drafts.</w:t>
      </w:r>
      <w:r w:rsidR="00876060">
        <w:rPr>
          <w:rFonts w:ascii="Times Roman" w:hAnsi="Times Roman"/>
          <w:lang w:val="en-GB"/>
        </w:rPr>
        <w:t xml:space="preserve"> </w:t>
      </w:r>
      <w:r>
        <w:rPr>
          <w:rFonts w:ascii="Times Roman" w:hAnsi="Times Roman"/>
          <w:lang w:val="en-GB"/>
        </w:rPr>
        <w:t xml:space="preserve">The centrality of </w:t>
      </w:r>
      <w:r w:rsidR="00A20C0D">
        <w:rPr>
          <w:rFonts w:ascii="Times Roman" w:hAnsi="Times Roman"/>
          <w:lang w:val="en-GB"/>
        </w:rPr>
        <w:t>s</w:t>
      </w:r>
      <w:r>
        <w:rPr>
          <w:rFonts w:ascii="Times Roman" w:hAnsi="Times Roman"/>
          <w:lang w:val="en-GB"/>
        </w:rPr>
        <w:t xml:space="preserve">haria law continued </w:t>
      </w:r>
      <w:r w:rsidR="00A20C0D">
        <w:rPr>
          <w:rFonts w:ascii="Times Roman" w:hAnsi="Times Roman"/>
          <w:lang w:val="en-GB"/>
        </w:rPr>
        <w:t>un</w:t>
      </w:r>
      <w:r>
        <w:rPr>
          <w:rFonts w:ascii="Times Roman" w:hAnsi="Times Roman"/>
          <w:lang w:val="en-GB"/>
        </w:rPr>
        <w:t xml:space="preserve">interrupted through years of effort, tens of thousands of emails and hundreds of thousands of hours by Mr. Kalair. </w:t>
      </w:r>
    </w:p>
    <w:p w14:paraId="5506A543" w14:textId="7A302B88" w:rsidR="001B2250" w:rsidRDefault="00A20C0D" w:rsidP="000B0284">
      <w:pPr>
        <w:pStyle w:val="ListParagraph"/>
        <w:numPr>
          <w:ilvl w:val="0"/>
          <w:numId w:val="1"/>
        </w:numPr>
        <w:shd w:val="clear" w:color="auto" w:fill="FFFFFF"/>
        <w:spacing w:after="120" w:line="360" w:lineRule="auto"/>
        <w:ind w:left="0" w:firstLine="0"/>
        <w:contextualSpacing w:val="0"/>
        <w:jc w:val="both"/>
        <w:rPr>
          <w:rFonts w:ascii="Times Roman" w:hAnsi="Times Roman"/>
          <w:lang w:val="en-GB"/>
        </w:rPr>
      </w:pPr>
      <w:r>
        <w:rPr>
          <w:rFonts w:ascii="Times Roman" w:hAnsi="Times Roman"/>
          <w:lang w:val="en-GB"/>
        </w:rPr>
        <w:t>At all times Kalair honestly believed he was acting in accordance with his obligations under the contracts, his obligations under sharia law, and in the best interests of his client homeowners. The Crown has failed to dislodge Kalair’s honest belief and colour of right and thus failed to meet i</w:t>
      </w:r>
      <w:r w:rsidR="00A2660B">
        <w:rPr>
          <w:rFonts w:ascii="Times Roman" w:hAnsi="Times Roman"/>
          <w:lang w:val="en-GB"/>
        </w:rPr>
        <w:t>t</w:t>
      </w:r>
      <w:r>
        <w:rPr>
          <w:rFonts w:ascii="Times Roman" w:hAnsi="Times Roman"/>
          <w:lang w:val="en-GB"/>
        </w:rPr>
        <w:t xml:space="preserve">s burden to prove the criminal charges beyond a reasonable doubt. Similarly the evidence demonstrates that Kalair acted with due diligence and made </w:t>
      </w:r>
      <w:r w:rsidR="00A2660B">
        <w:rPr>
          <w:rFonts w:ascii="Times Roman" w:hAnsi="Times Roman"/>
          <w:lang w:val="en-GB"/>
        </w:rPr>
        <w:t xml:space="preserve">all </w:t>
      </w:r>
      <w:r>
        <w:rPr>
          <w:rFonts w:ascii="Times Roman" w:hAnsi="Times Roman"/>
          <w:lang w:val="en-GB"/>
        </w:rPr>
        <w:t>reasonable efforts to comply with his obligations under the BIA and is not guilty of those charges.</w:t>
      </w:r>
    </w:p>
    <w:p w14:paraId="2502F42C" w14:textId="77777777" w:rsidR="008B0879" w:rsidRPr="008B0879" w:rsidRDefault="008B0879" w:rsidP="008B0879">
      <w:pPr>
        <w:pStyle w:val="ListParagraph"/>
        <w:shd w:val="clear" w:color="auto" w:fill="FFFFFF"/>
        <w:spacing w:after="120" w:line="360" w:lineRule="auto"/>
        <w:ind w:left="0"/>
        <w:contextualSpacing w:val="0"/>
        <w:jc w:val="both"/>
        <w:rPr>
          <w:rFonts w:ascii="Times Roman" w:hAnsi="Times Roman"/>
          <w:lang w:val="en-GB"/>
        </w:rPr>
      </w:pPr>
    </w:p>
    <w:p w14:paraId="7AFED7CC" w14:textId="7973FCE0" w:rsidR="001B2250" w:rsidRPr="001F4229" w:rsidRDefault="001B2250" w:rsidP="002312CB">
      <w:pPr>
        <w:rPr>
          <w:rFonts w:ascii="Times" w:hAnsi="Times"/>
          <w:b/>
        </w:rPr>
      </w:pPr>
      <w:r w:rsidRPr="001F4229">
        <w:rPr>
          <w:rFonts w:ascii="Times" w:hAnsi="Times"/>
          <w:b/>
        </w:rPr>
        <w:lastRenderedPageBreak/>
        <w:t xml:space="preserve">DATED AT TORONTO THIS </w:t>
      </w:r>
      <w:r w:rsidR="00C8149A">
        <w:rPr>
          <w:rFonts w:ascii="Times" w:hAnsi="Times"/>
          <w:b/>
        </w:rPr>
        <w:t>1</w:t>
      </w:r>
      <w:r w:rsidR="00787BE0">
        <w:rPr>
          <w:rFonts w:ascii="Times" w:hAnsi="Times"/>
          <w:b/>
        </w:rPr>
        <w:t>5</w:t>
      </w:r>
      <w:bookmarkStart w:id="56" w:name="_GoBack"/>
      <w:bookmarkEnd w:id="56"/>
      <w:r w:rsidR="00C8149A" w:rsidRPr="00C8149A">
        <w:rPr>
          <w:rFonts w:ascii="Times" w:hAnsi="Times"/>
          <w:b/>
          <w:vertAlign w:val="superscript"/>
        </w:rPr>
        <w:t>th</w:t>
      </w:r>
      <w:r w:rsidRPr="001F4229">
        <w:rPr>
          <w:rFonts w:ascii="Times" w:hAnsi="Times"/>
          <w:b/>
        </w:rPr>
        <w:t xml:space="preserve"> DAY OF </w:t>
      </w:r>
      <w:r w:rsidR="00E87E70">
        <w:rPr>
          <w:rFonts w:ascii="Times" w:hAnsi="Times"/>
          <w:b/>
        </w:rPr>
        <w:t>FEBRUARY</w:t>
      </w:r>
      <w:r w:rsidRPr="001F4229">
        <w:rPr>
          <w:rFonts w:ascii="Times" w:hAnsi="Times"/>
          <w:b/>
        </w:rPr>
        <w:t xml:space="preserve">, 2019 </w:t>
      </w:r>
    </w:p>
    <w:p w14:paraId="1DA9B2DC" w14:textId="77777777" w:rsidR="001B2250" w:rsidRPr="001F4229" w:rsidRDefault="001B2250" w:rsidP="002312CB">
      <w:pPr>
        <w:rPr>
          <w:rFonts w:ascii="Times" w:hAnsi="Times"/>
          <w:b/>
        </w:rPr>
      </w:pPr>
    </w:p>
    <w:p w14:paraId="123F5E3E" w14:textId="77777777" w:rsidR="001B2250" w:rsidRPr="001F4229" w:rsidRDefault="001B2250" w:rsidP="002312CB">
      <w:pPr>
        <w:rPr>
          <w:rFonts w:ascii="Times" w:hAnsi="Times"/>
          <w:b/>
        </w:rPr>
      </w:pPr>
      <w:r w:rsidRPr="001F4229">
        <w:rPr>
          <w:rFonts w:ascii="Times" w:hAnsi="Times"/>
          <w:b/>
        </w:rPr>
        <w:t xml:space="preserve">ALL OF WHICH IS RESPECTFULLY SUBMITTED BY: </w:t>
      </w:r>
    </w:p>
    <w:p w14:paraId="240F2C78" w14:textId="77777777" w:rsidR="00F420ED" w:rsidRPr="001F4229" w:rsidRDefault="00F420ED" w:rsidP="002312CB">
      <w:pPr>
        <w:rPr>
          <w:rFonts w:ascii="Times" w:hAnsi="Times"/>
          <w:b/>
        </w:rPr>
      </w:pPr>
    </w:p>
    <w:p w14:paraId="7529B70E" w14:textId="7D5E07E2" w:rsidR="001B2250" w:rsidRDefault="00C8149A" w:rsidP="002312CB">
      <w:pPr>
        <w:jc w:val="right"/>
        <w:rPr>
          <w:rFonts w:ascii="Times" w:hAnsi="Times"/>
          <w:b/>
        </w:rPr>
      </w:pPr>
      <w:r>
        <w:rPr>
          <w:rFonts w:ascii="Times" w:hAnsi="Times"/>
          <w:b/>
        </w:rPr>
        <w:br/>
      </w:r>
      <w:r>
        <w:rPr>
          <w:rFonts w:ascii="Times" w:hAnsi="Times"/>
          <w:b/>
        </w:rPr>
        <w:br/>
      </w:r>
      <w:r w:rsidR="001B2250" w:rsidRPr="001F4229">
        <w:rPr>
          <w:rFonts w:ascii="Times" w:hAnsi="Times"/>
          <w:b/>
        </w:rPr>
        <w:t>____________</w:t>
      </w:r>
      <w:r w:rsidR="00F420ED" w:rsidRPr="001F4229">
        <w:rPr>
          <w:rFonts w:ascii="Times" w:hAnsi="Times"/>
          <w:b/>
        </w:rPr>
        <w:t>___________________</w:t>
      </w:r>
      <w:r w:rsidR="001B2250" w:rsidRPr="001F4229">
        <w:rPr>
          <w:rFonts w:ascii="Times" w:hAnsi="Times"/>
          <w:b/>
        </w:rPr>
        <w:t>_____</w:t>
      </w:r>
      <w:r>
        <w:rPr>
          <w:rFonts w:ascii="Times" w:hAnsi="Times"/>
          <w:b/>
        </w:rPr>
        <w:br/>
        <w:t>Edward Prutschi &amp; Brittany Smith</w:t>
      </w:r>
      <w:r>
        <w:rPr>
          <w:rFonts w:ascii="Times" w:hAnsi="Times"/>
          <w:b/>
        </w:rPr>
        <w:br/>
        <w:t xml:space="preserve">Counsel to the </w:t>
      </w:r>
      <w:r w:rsidR="008071F9">
        <w:rPr>
          <w:rFonts w:ascii="Times" w:hAnsi="Times"/>
          <w:b/>
        </w:rPr>
        <w:t>accused, Omar Kalair</w:t>
      </w:r>
      <w:r w:rsidR="008071F9">
        <w:rPr>
          <w:rFonts w:ascii="Times" w:hAnsi="Times"/>
          <w:b/>
        </w:rPr>
        <w:br/>
        <w:t>1708-5000 Yonge St.</w:t>
      </w:r>
      <w:r w:rsidR="008071F9">
        <w:rPr>
          <w:rFonts w:ascii="Times" w:hAnsi="Times"/>
          <w:b/>
        </w:rPr>
        <w:br/>
        <w:t>Toronto, ON M2N 7E9</w:t>
      </w:r>
    </w:p>
    <w:p w14:paraId="3C2D3AB8" w14:textId="2E32667B" w:rsidR="008071F9" w:rsidRDefault="008071F9" w:rsidP="002312CB">
      <w:pPr>
        <w:jc w:val="right"/>
        <w:rPr>
          <w:rFonts w:ascii="Times" w:hAnsi="Times"/>
          <w:b/>
        </w:rPr>
      </w:pPr>
    </w:p>
    <w:p w14:paraId="5E925B04" w14:textId="7B6CB74E" w:rsidR="008071F9" w:rsidRDefault="008071F9" w:rsidP="002312CB">
      <w:pPr>
        <w:jc w:val="right"/>
        <w:rPr>
          <w:rFonts w:ascii="Times" w:hAnsi="Times"/>
          <w:b/>
        </w:rPr>
      </w:pPr>
      <w:r>
        <w:rPr>
          <w:rFonts w:ascii="Times" w:hAnsi="Times"/>
          <w:b/>
        </w:rPr>
        <w:t>Tel: 416-365-1773</w:t>
      </w:r>
    </w:p>
    <w:p w14:paraId="14C132CF" w14:textId="78D5BD76" w:rsidR="008071F9" w:rsidRDefault="008071F9" w:rsidP="002312CB">
      <w:pPr>
        <w:jc w:val="right"/>
        <w:rPr>
          <w:rFonts w:ascii="Times" w:hAnsi="Times"/>
          <w:b/>
        </w:rPr>
      </w:pPr>
      <w:r>
        <w:rPr>
          <w:rFonts w:ascii="Times" w:hAnsi="Times"/>
          <w:b/>
        </w:rPr>
        <w:t>Fax: 416-365-0866</w:t>
      </w:r>
    </w:p>
    <w:p w14:paraId="3AD24F14" w14:textId="292B0361" w:rsidR="008071F9" w:rsidRDefault="00787BE0" w:rsidP="002312CB">
      <w:pPr>
        <w:jc w:val="right"/>
        <w:rPr>
          <w:rFonts w:ascii="Times" w:hAnsi="Times"/>
          <w:b/>
        </w:rPr>
      </w:pPr>
      <w:hyperlink r:id="rId9" w:history="1">
        <w:r w:rsidR="008071F9" w:rsidRPr="000C437C">
          <w:rPr>
            <w:rStyle w:val="Hyperlink"/>
            <w:rFonts w:ascii="Times" w:hAnsi="Times"/>
            <w:b/>
          </w:rPr>
          <w:t>prutschi@crimlawcanada.com</w:t>
        </w:r>
      </w:hyperlink>
    </w:p>
    <w:p w14:paraId="091B6563" w14:textId="48BBEC60" w:rsidR="008071F9" w:rsidRPr="001F4229" w:rsidRDefault="00787BE0" w:rsidP="002312CB">
      <w:pPr>
        <w:jc w:val="right"/>
        <w:rPr>
          <w:rFonts w:ascii="Times" w:hAnsi="Times"/>
          <w:b/>
        </w:rPr>
      </w:pPr>
      <w:hyperlink r:id="rId10" w:history="1">
        <w:r w:rsidR="008071F9" w:rsidRPr="000C437C">
          <w:rPr>
            <w:rStyle w:val="Hyperlink"/>
            <w:rFonts w:ascii="Times" w:hAnsi="Times"/>
            <w:b/>
          </w:rPr>
          <w:t>smith@crimlawcanada.com</w:t>
        </w:r>
      </w:hyperlink>
      <w:r w:rsidR="008071F9">
        <w:rPr>
          <w:rFonts w:ascii="Times" w:hAnsi="Times"/>
          <w:b/>
        </w:rPr>
        <w:t xml:space="preserve"> </w:t>
      </w:r>
    </w:p>
    <w:p w14:paraId="7A482127" w14:textId="3C2CBB98" w:rsidR="00FA5A66" w:rsidRDefault="00FA5A66" w:rsidP="002312CB">
      <w:pPr>
        <w:rPr>
          <w:rFonts w:ascii="Times" w:hAnsi="Times"/>
        </w:rPr>
      </w:pPr>
    </w:p>
    <w:p w14:paraId="1B259BC0" w14:textId="77777777" w:rsidR="00FA5A66" w:rsidRPr="001F4229" w:rsidRDefault="00FA5A66" w:rsidP="002312CB">
      <w:pPr>
        <w:rPr>
          <w:rFonts w:ascii="Times" w:hAnsi="Times"/>
        </w:rPr>
      </w:pPr>
    </w:p>
    <w:p w14:paraId="2705BC6F" w14:textId="77777777" w:rsidR="0074578F" w:rsidRPr="001F4229" w:rsidRDefault="0074578F" w:rsidP="002312CB">
      <w:pPr>
        <w:rPr>
          <w:rFonts w:ascii="Times" w:hAnsi="Times"/>
        </w:rPr>
      </w:pPr>
      <w:r w:rsidRPr="001F4229">
        <w:rPr>
          <w:rFonts w:ascii="Times" w:hAnsi="Times"/>
        </w:rPr>
        <w:t xml:space="preserve">TO: </w:t>
      </w:r>
      <w:r w:rsidRPr="001F4229">
        <w:rPr>
          <w:rFonts w:ascii="Times" w:hAnsi="Times"/>
        </w:rPr>
        <w:tab/>
      </w:r>
      <w:r w:rsidRPr="001F4229">
        <w:rPr>
          <w:rFonts w:ascii="Times" w:hAnsi="Times"/>
        </w:rPr>
        <w:tab/>
        <w:t>The Honourable Justice Jane Ferguson</w:t>
      </w:r>
    </w:p>
    <w:p w14:paraId="221AAD1E" w14:textId="77777777" w:rsidR="0074578F" w:rsidRPr="001F4229" w:rsidRDefault="0074578F" w:rsidP="002312CB">
      <w:pPr>
        <w:rPr>
          <w:rFonts w:ascii="Times" w:hAnsi="Times"/>
        </w:rPr>
      </w:pPr>
      <w:r w:rsidRPr="001F4229">
        <w:rPr>
          <w:rFonts w:ascii="Times" w:hAnsi="Times"/>
        </w:rPr>
        <w:tab/>
      </w:r>
      <w:r w:rsidRPr="001F4229">
        <w:rPr>
          <w:rFonts w:ascii="Times" w:hAnsi="Times"/>
        </w:rPr>
        <w:tab/>
        <w:t xml:space="preserve">Superior Court of Justice </w:t>
      </w:r>
    </w:p>
    <w:p w14:paraId="7470139D" w14:textId="77777777" w:rsidR="0074578F" w:rsidRPr="001F4229" w:rsidRDefault="0074578F" w:rsidP="002312CB">
      <w:pPr>
        <w:rPr>
          <w:rFonts w:ascii="Times" w:hAnsi="Times"/>
        </w:rPr>
      </w:pPr>
      <w:r w:rsidRPr="001F4229">
        <w:rPr>
          <w:rFonts w:ascii="Times" w:hAnsi="Times"/>
        </w:rPr>
        <w:tab/>
      </w:r>
      <w:r w:rsidRPr="001F4229">
        <w:rPr>
          <w:rFonts w:ascii="Times" w:hAnsi="Times"/>
        </w:rPr>
        <w:tab/>
        <w:t>Toronto Region</w:t>
      </w:r>
    </w:p>
    <w:p w14:paraId="0AAD6553" w14:textId="77777777" w:rsidR="0074578F" w:rsidRPr="001F4229" w:rsidRDefault="0074578F" w:rsidP="002312CB">
      <w:pPr>
        <w:rPr>
          <w:rFonts w:ascii="Times" w:hAnsi="Times"/>
        </w:rPr>
      </w:pPr>
      <w:r w:rsidRPr="001F4229">
        <w:rPr>
          <w:rFonts w:ascii="Times" w:hAnsi="Times"/>
        </w:rPr>
        <w:tab/>
      </w:r>
      <w:r w:rsidRPr="001F4229">
        <w:rPr>
          <w:rFonts w:ascii="Times" w:hAnsi="Times"/>
        </w:rPr>
        <w:tab/>
        <w:t xml:space="preserve">Toronto, Ontario  </w:t>
      </w:r>
    </w:p>
    <w:p w14:paraId="3914DB39" w14:textId="77777777" w:rsidR="0074578F" w:rsidRPr="001F4229" w:rsidRDefault="0074578F" w:rsidP="002312CB">
      <w:pPr>
        <w:rPr>
          <w:rFonts w:ascii="Times" w:hAnsi="Times"/>
        </w:rPr>
      </w:pPr>
    </w:p>
    <w:p w14:paraId="02D28BED" w14:textId="5EDC851B" w:rsidR="002727D8" w:rsidRPr="002727D8" w:rsidRDefault="0074578F" w:rsidP="002727D8">
      <w:pPr>
        <w:rPr>
          <w:rFonts w:ascii="Times" w:hAnsi="Times"/>
        </w:rPr>
      </w:pPr>
      <w:r w:rsidRPr="001F4229">
        <w:rPr>
          <w:rFonts w:ascii="Times" w:hAnsi="Times"/>
        </w:rPr>
        <w:t xml:space="preserve">AND TO: </w:t>
      </w:r>
      <w:r w:rsidRPr="001F4229">
        <w:rPr>
          <w:rFonts w:ascii="Times" w:hAnsi="Times"/>
        </w:rPr>
        <w:tab/>
      </w:r>
      <w:r w:rsidR="002727D8" w:rsidRPr="002727D8">
        <w:rPr>
          <w:rFonts w:ascii="Times" w:hAnsi="Times"/>
        </w:rPr>
        <w:t xml:space="preserve">Damien R. Frost </w:t>
      </w:r>
    </w:p>
    <w:p w14:paraId="624EA809" w14:textId="77777777" w:rsidR="002727D8" w:rsidRPr="002727D8" w:rsidRDefault="002727D8" w:rsidP="002727D8">
      <w:pPr>
        <w:ind w:left="720" w:firstLine="720"/>
        <w:rPr>
          <w:rFonts w:ascii="Times" w:hAnsi="Times"/>
        </w:rPr>
      </w:pPr>
      <w:r w:rsidRPr="002727D8">
        <w:rPr>
          <w:rFonts w:ascii="Times" w:hAnsi="Times"/>
        </w:rPr>
        <w:t xml:space="preserve">Kelsey L. Ivory </w:t>
      </w:r>
    </w:p>
    <w:p w14:paraId="27BD4582" w14:textId="77777777" w:rsidR="002727D8" w:rsidRPr="001F4229" w:rsidRDefault="002727D8" w:rsidP="002727D8">
      <w:pPr>
        <w:ind w:left="720" w:firstLine="720"/>
        <w:rPr>
          <w:rFonts w:ascii="Times" w:hAnsi="Times"/>
        </w:rPr>
      </w:pPr>
      <w:r w:rsidRPr="001F4229">
        <w:rPr>
          <w:rFonts w:ascii="Times" w:hAnsi="Times"/>
        </w:rPr>
        <w:t>Public Prosecution Service of Canada</w:t>
      </w:r>
    </w:p>
    <w:p w14:paraId="23205595" w14:textId="77777777" w:rsidR="002727D8" w:rsidRPr="001F4229" w:rsidRDefault="002727D8" w:rsidP="002727D8">
      <w:pPr>
        <w:ind w:left="720" w:firstLine="720"/>
        <w:rPr>
          <w:rFonts w:ascii="Times" w:hAnsi="Times"/>
        </w:rPr>
      </w:pPr>
      <w:r w:rsidRPr="001F4229">
        <w:rPr>
          <w:rFonts w:ascii="Times" w:hAnsi="Times"/>
        </w:rPr>
        <w:t xml:space="preserve">Damien Frost &amp; Associates LLP </w:t>
      </w:r>
    </w:p>
    <w:p w14:paraId="2A80084D" w14:textId="4CEB56A4" w:rsidR="002727D8" w:rsidRPr="001F4229" w:rsidRDefault="002727D8" w:rsidP="002727D8">
      <w:pPr>
        <w:rPr>
          <w:rFonts w:ascii="Times" w:hAnsi="Times"/>
        </w:rPr>
      </w:pPr>
      <w:r>
        <w:rPr>
          <w:rFonts w:ascii="Times" w:hAnsi="Times"/>
        </w:rPr>
        <w:tab/>
      </w:r>
      <w:r>
        <w:rPr>
          <w:rFonts w:ascii="Times" w:hAnsi="Times"/>
        </w:rPr>
        <w:tab/>
      </w:r>
      <w:r w:rsidRPr="001F4229">
        <w:rPr>
          <w:rFonts w:ascii="Times" w:hAnsi="Times"/>
        </w:rPr>
        <w:t xml:space="preserve">202-30 St Clair Ave West </w:t>
      </w:r>
    </w:p>
    <w:p w14:paraId="0CCB3D47" w14:textId="77777777" w:rsidR="002727D8" w:rsidRPr="001F4229" w:rsidRDefault="002727D8" w:rsidP="002727D8">
      <w:pPr>
        <w:ind w:left="1440"/>
        <w:rPr>
          <w:rFonts w:ascii="Times" w:hAnsi="Times"/>
        </w:rPr>
      </w:pPr>
      <w:r w:rsidRPr="001F4229">
        <w:rPr>
          <w:rFonts w:ascii="Times" w:hAnsi="Times"/>
        </w:rPr>
        <w:t xml:space="preserve">Toronto, ON </w:t>
      </w:r>
    </w:p>
    <w:p w14:paraId="6BFA9552" w14:textId="77777777" w:rsidR="002727D8" w:rsidRPr="001F4229" w:rsidRDefault="002727D8" w:rsidP="002727D8">
      <w:pPr>
        <w:ind w:left="1440"/>
        <w:rPr>
          <w:rFonts w:ascii="Times" w:hAnsi="Times"/>
        </w:rPr>
      </w:pPr>
      <w:r w:rsidRPr="001F4229">
        <w:rPr>
          <w:rFonts w:ascii="Times" w:hAnsi="Times"/>
        </w:rPr>
        <w:t>M4V 3A1</w:t>
      </w:r>
    </w:p>
    <w:p w14:paraId="073F6467" w14:textId="77777777" w:rsidR="002727D8" w:rsidRPr="001F4229" w:rsidRDefault="002727D8" w:rsidP="002727D8">
      <w:pPr>
        <w:ind w:left="1440"/>
        <w:rPr>
          <w:rFonts w:ascii="Times" w:hAnsi="Times"/>
        </w:rPr>
      </w:pPr>
    </w:p>
    <w:p w14:paraId="25FB6F67" w14:textId="77777777" w:rsidR="002727D8" w:rsidRPr="001F4229" w:rsidRDefault="002727D8" w:rsidP="002727D8">
      <w:pPr>
        <w:ind w:left="1440"/>
        <w:rPr>
          <w:rFonts w:ascii="Times" w:hAnsi="Times"/>
        </w:rPr>
      </w:pPr>
      <w:r w:rsidRPr="001F4229">
        <w:rPr>
          <w:rFonts w:ascii="Times" w:hAnsi="Times"/>
        </w:rPr>
        <w:t xml:space="preserve">Tel: 416.923.1900 </w:t>
      </w:r>
    </w:p>
    <w:p w14:paraId="39ED8DCC" w14:textId="77777777" w:rsidR="002727D8" w:rsidRPr="001F4229" w:rsidRDefault="002727D8" w:rsidP="002727D8">
      <w:pPr>
        <w:ind w:left="1440"/>
        <w:rPr>
          <w:rFonts w:ascii="Times" w:hAnsi="Times"/>
        </w:rPr>
      </w:pPr>
      <w:r w:rsidRPr="001F4229">
        <w:rPr>
          <w:rFonts w:ascii="Times" w:hAnsi="Times"/>
        </w:rPr>
        <w:t>Fax: 1.866.235.6191</w:t>
      </w:r>
    </w:p>
    <w:p w14:paraId="69659A9B" w14:textId="77777777" w:rsidR="002727D8" w:rsidRPr="001F4229" w:rsidRDefault="002727D8" w:rsidP="002727D8">
      <w:pPr>
        <w:ind w:left="1440"/>
        <w:rPr>
          <w:rFonts w:ascii="Times" w:hAnsi="Times"/>
        </w:rPr>
      </w:pPr>
      <w:r w:rsidRPr="001F4229">
        <w:rPr>
          <w:rFonts w:ascii="Times" w:hAnsi="Times"/>
        </w:rPr>
        <w:t>Email: dfrost@damienfrost.ca</w:t>
      </w:r>
    </w:p>
    <w:p w14:paraId="79E921CB" w14:textId="77777777" w:rsidR="002727D8" w:rsidRPr="001F4229" w:rsidRDefault="002727D8" w:rsidP="002727D8">
      <w:pPr>
        <w:ind w:left="1440"/>
        <w:rPr>
          <w:rFonts w:ascii="Times" w:hAnsi="Times"/>
        </w:rPr>
      </w:pPr>
      <w:r w:rsidRPr="001F4229">
        <w:rPr>
          <w:rFonts w:ascii="Times" w:hAnsi="Times"/>
        </w:rPr>
        <w:t>Email: kivory@damienfrost.ca</w:t>
      </w:r>
    </w:p>
    <w:p w14:paraId="7FC261C0" w14:textId="77777777" w:rsidR="002727D8" w:rsidRPr="001F4229" w:rsidRDefault="002727D8" w:rsidP="002727D8">
      <w:pPr>
        <w:ind w:left="1440"/>
        <w:rPr>
          <w:rFonts w:ascii="Times" w:hAnsi="Times"/>
          <w:b/>
        </w:rPr>
      </w:pPr>
    </w:p>
    <w:p w14:paraId="76F89667" w14:textId="3DFE425C" w:rsidR="0074578F" w:rsidRDefault="002727D8" w:rsidP="002727D8">
      <w:pPr>
        <w:ind w:left="1440"/>
        <w:rPr>
          <w:rFonts w:ascii="Times" w:hAnsi="Times"/>
        </w:rPr>
      </w:pPr>
      <w:r w:rsidRPr="001F4229">
        <w:rPr>
          <w:rFonts w:ascii="Times" w:hAnsi="Times"/>
          <w:i/>
        </w:rPr>
        <w:t>Agents for the Federal Crown</w:t>
      </w:r>
    </w:p>
    <w:p w14:paraId="025A3474" w14:textId="599AFD36" w:rsidR="00FA5A66" w:rsidRDefault="00FA5A66" w:rsidP="002312CB">
      <w:pPr>
        <w:rPr>
          <w:rFonts w:ascii="Times" w:hAnsi="Times"/>
        </w:rPr>
      </w:pPr>
    </w:p>
    <w:p w14:paraId="65D0C5AE" w14:textId="77777777" w:rsidR="00FA5A66" w:rsidRPr="001F4229" w:rsidRDefault="00FA5A66" w:rsidP="002312CB">
      <w:pPr>
        <w:rPr>
          <w:rFonts w:ascii="Times" w:hAnsi="Times"/>
        </w:rPr>
      </w:pPr>
    </w:p>
    <w:p w14:paraId="39AEEEAC" w14:textId="77777777" w:rsidR="0074578F" w:rsidRPr="001F4229" w:rsidRDefault="0074578F" w:rsidP="002312CB">
      <w:pPr>
        <w:rPr>
          <w:rFonts w:ascii="Times" w:hAnsi="Times"/>
        </w:rPr>
      </w:pPr>
      <w:r w:rsidRPr="001F4229">
        <w:rPr>
          <w:rFonts w:ascii="Times" w:hAnsi="Times"/>
        </w:rPr>
        <w:t xml:space="preserve">AND TO: </w:t>
      </w:r>
      <w:r w:rsidRPr="001F4229">
        <w:rPr>
          <w:rFonts w:ascii="Times" w:hAnsi="Times"/>
        </w:rPr>
        <w:tab/>
        <w:t xml:space="preserve">Tom LeRoy </w:t>
      </w:r>
    </w:p>
    <w:p w14:paraId="0706FCB4" w14:textId="77777777" w:rsidR="0074578F" w:rsidRPr="001F4229" w:rsidRDefault="0074578F" w:rsidP="002312CB">
      <w:pPr>
        <w:rPr>
          <w:rFonts w:ascii="Times" w:hAnsi="Times"/>
        </w:rPr>
      </w:pPr>
      <w:r w:rsidRPr="001F4229">
        <w:rPr>
          <w:rFonts w:ascii="Times" w:hAnsi="Times"/>
        </w:rPr>
        <w:tab/>
      </w:r>
      <w:r w:rsidRPr="001F4229">
        <w:rPr>
          <w:rFonts w:ascii="Times" w:hAnsi="Times"/>
        </w:rPr>
        <w:tab/>
        <w:t xml:space="preserve">Megan Howatt </w:t>
      </w:r>
    </w:p>
    <w:p w14:paraId="32192C0E" w14:textId="77777777" w:rsidR="0074578F" w:rsidRPr="001F4229" w:rsidRDefault="0074578F" w:rsidP="002312CB">
      <w:pPr>
        <w:rPr>
          <w:rFonts w:ascii="Times" w:hAnsi="Times"/>
        </w:rPr>
      </w:pPr>
      <w:r w:rsidRPr="001F4229">
        <w:rPr>
          <w:rFonts w:ascii="Times" w:hAnsi="Times"/>
        </w:rPr>
        <w:tab/>
      </w:r>
      <w:r w:rsidRPr="001F4229">
        <w:rPr>
          <w:rFonts w:ascii="Times" w:hAnsi="Times"/>
        </w:rPr>
        <w:tab/>
        <w:t xml:space="preserve">Legal Aid Ontario </w:t>
      </w:r>
    </w:p>
    <w:p w14:paraId="0ABBE470" w14:textId="77777777" w:rsidR="0074578F" w:rsidRPr="001F4229" w:rsidRDefault="0074578F" w:rsidP="002312CB">
      <w:pPr>
        <w:rPr>
          <w:rFonts w:ascii="Times" w:hAnsi="Times"/>
        </w:rPr>
      </w:pPr>
      <w:r w:rsidRPr="001F4229">
        <w:rPr>
          <w:rFonts w:ascii="Times" w:hAnsi="Times"/>
        </w:rPr>
        <w:tab/>
      </w:r>
      <w:r w:rsidRPr="001F4229">
        <w:rPr>
          <w:rFonts w:ascii="Times" w:hAnsi="Times"/>
        </w:rPr>
        <w:tab/>
        <w:t xml:space="preserve">Atrium on Bay </w:t>
      </w:r>
    </w:p>
    <w:p w14:paraId="65375DE0" w14:textId="77777777" w:rsidR="0074578F" w:rsidRPr="001F4229" w:rsidRDefault="0074578F" w:rsidP="002312CB">
      <w:pPr>
        <w:rPr>
          <w:rFonts w:ascii="Times" w:hAnsi="Times"/>
        </w:rPr>
      </w:pPr>
      <w:r w:rsidRPr="001F4229">
        <w:rPr>
          <w:rFonts w:ascii="Times" w:hAnsi="Times"/>
        </w:rPr>
        <w:tab/>
      </w:r>
      <w:r w:rsidRPr="001F4229">
        <w:rPr>
          <w:rFonts w:ascii="Times" w:hAnsi="Times"/>
        </w:rPr>
        <w:tab/>
        <w:t xml:space="preserve">40 Dundas Street West, Suite 200 </w:t>
      </w:r>
    </w:p>
    <w:p w14:paraId="18193544" w14:textId="77777777" w:rsidR="0074578F" w:rsidRPr="001F4229" w:rsidRDefault="0074578F" w:rsidP="002312CB">
      <w:pPr>
        <w:rPr>
          <w:rFonts w:ascii="Times" w:hAnsi="Times"/>
        </w:rPr>
      </w:pPr>
      <w:r w:rsidRPr="001F4229">
        <w:rPr>
          <w:rFonts w:ascii="Times" w:hAnsi="Times"/>
        </w:rPr>
        <w:tab/>
      </w:r>
      <w:r w:rsidRPr="001F4229">
        <w:rPr>
          <w:rFonts w:ascii="Times" w:hAnsi="Times"/>
        </w:rPr>
        <w:tab/>
        <w:t xml:space="preserve">Toronto, ON </w:t>
      </w:r>
    </w:p>
    <w:p w14:paraId="1A1D31D8" w14:textId="77777777" w:rsidR="0074578F" w:rsidRPr="001F4229" w:rsidRDefault="0074578F" w:rsidP="002312CB">
      <w:pPr>
        <w:rPr>
          <w:rFonts w:ascii="Times" w:hAnsi="Times"/>
        </w:rPr>
      </w:pPr>
      <w:r w:rsidRPr="001F4229">
        <w:rPr>
          <w:rFonts w:ascii="Times" w:hAnsi="Times"/>
        </w:rPr>
        <w:tab/>
      </w:r>
      <w:r w:rsidRPr="001F4229">
        <w:rPr>
          <w:rFonts w:ascii="Times" w:hAnsi="Times"/>
        </w:rPr>
        <w:tab/>
      </w:r>
    </w:p>
    <w:p w14:paraId="6D0DF186" w14:textId="77777777" w:rsidR="0074578F" w:rsidRPr="001F4229" w:rsidRDefault="0074578F" w:rsidP="002312CB">
      <w:pPr>
        <w:rPr>
          <w:rFonts w:ascii="Times" w:hAnsi="Times"/>
        </w:rPr>
      </w:pPr>
      <w:r w:rsidRPr="001F4229">
        <w:rPr>
          <w:rFonts w:ascii="Times" w:hAnsi="Times"/>
        </w:rPr>
        <w:tab/>
      </w:r>
      <w:r w:rsidRPr="001F4229">
        <w:rPr>
          <w:rFonts w:ascii="Times" w:hAnsi="Times"/>
        </w:rPr>
        <w:tab/>
        <w:t>Tel: 416-979-2352 Ext. 6323</w:t>
      </w:r>
    </w:p>
    <w:p w14:paraId="4AF79B83" w14:textId="77777777" w:rsidR="0074578F" w:rsidRPr="001F4229" w:rsidRDefault="0074578F" w:rsidP="002312CB">
      <w:pPr>
        <w:rPr>
          <w:rFonts w:ascii="Times" w:hAnsi="Times"/>
        </w:rPr>
      </w:pPr>
      <w:r w:rsidRPr="001F4229">
        <w:rPr>
          <w:rFonts w:ascii="Times" w:hAnsi="Times"/>
        </w:rPr>
        <w:tab/>
      </w:r>
      <w:r w:rsidRPr="001F4229">
        <w:rPr>
          <w:rFonts w:ascii="Times" w:hAnsi="Times"/>
        </w:rPr>
        <w:tab/>
        <w:t>Fax: 416-204-7117</w:t>
      </w:r>
    </w:p>
    <w:p w14:paraId="1815D7EB" w14:textId="77777777" w:rsidR="0074578F" w:rsidRPr="001F4229" w:rsidRDefault="0074578F" w:rsidP="002312CB">
      <w:pPr>
        <w:ind w:left="720" w:firstLine="720"/>
        <w:rPr>
          <w:rFonts w:ascii="Times" w:hAnsi="Times"/>
        </w:rPr>
      </w:pPr>
      <w:r w:rsidRPr="001F4229">
        <w:rPr>
          <w:rFonts w:ascii="Times" w:hAnsi="Times"/>
        </w:rPr>
        <w:t>Email: leroyt@lao.on.ca</w:t>
      </w:r>
    </w:p>
    <w:p w14:paraId="1909185B" w14:textId="77777777" w:rsidR="0074578F" w:rsidRPr="001F4229" w:rsidRDefault="0074578F" w:rsidP="002312CB">
      <w:pPr>
        <w:ind w:left="720" w:firstLine="720"/>
        <w:rPr>
          <w:rFonts w:ascii="Times" w:hAnsi="Times"/>
        </w:rPr>
      </w:pPr>
      <w:r w:rsidRPr="001F4229">
        <w:rPr>
          <w:rFonts w:ascii="Times" w:hAnsi="Times"/>
        </w:rPr>
        <w:t xml:space="preserve">Email: howattm@lao.on.ca </w:t>
      </w:r>
    </w:p>
    <w:p w14:paraId="0CF82790" w14:textId="77777777" w:rsidR="0074578F" w:rsidRPr="001F4229" w:rsidRDefault="0074578F" w:rsidP="002312CB">
      <w:pPr>
        <w:rPr>
          <w:rFonts w:ascii="Times" w:hAnsi="Times"/>
        </w:rPr>
      </w:pPr>
    </w:p>
    <w:p w14:paraId="27128440" w14:textId="77777777" w:rsidR="0074578F" w:rsidRPr="001F4229" w:rsidRDefault="0074578F" w:rsidP="002312CB">
      <w:pPr>
        <w:ind w:left="720" w:firstLine="720"/>
        <w:rPr>
          <w:rFonts w:ascii="Times" w:hAnsi="Times"/>
          <w:i/>
        </w:rPr>
      </w:pPr>
      <w:r w:rsidRPr="001F4229">
        <w:rPr>
          <w:rFonts w:ascii="Times" w:hAnsi="Times"/>
          <w:i/>
        </w:rPr>
        <w:t>Amicus Curae</w:t>
      </w:r>
    </w:p>
    <w:p w14:paraId="0C6842ED" w14:textId="77777777" w:rsidR="0074578F" w:rsidRPr="001F4229" w:rsidRDefault="0074578F" w:rsidP="002312CB">
      <w:pPr>
        <w:rPr>
          <w:rFonts w:ascii="Times" w:hAnsi="Times"/>
        </w:rPr>
      </w:pPr>
    </w:p>
    <w:p w14:paraId="533F7EE8" w14:textId="10BA475A" w:rsidR="00CB2F22" w:rsidRPr="00C308B3" w:rsidRDefault="0074578F" w:rsidP="00F72B13">
      <w:pPr>
        <w:rPr>
          <w:rFonts w:ascii="Times" w:hAnsi="Times"/>
        </w:rPr>
      </w:pPr>
      <w:r w:rsidRPr="001F4229">
        <w:rPr>
          <w:rFonts w:ascii="Times" w:hAnsi="Times"/>
        </w:rPr>
        <w:t xml:space="preserve">AND TO: </w:t>
      </w:r>
      <w:r w:rsidRPr="001F4229">
        <w:rPr>
          <w:rFonts w:ascii="Times" w:hAnsi="Times"/>
        </w:rPr>
        <w:tab/>
      </w:r>
      <w:r w:rsidR="004B6035" w:rsidRPr="001F4229">
        <w:rPr>
          <w:rFonts w:ascii="Times" w:hAnsi="Times"/>
        </w:rPr>
        <w:t>Yusuf</w:t>
      </w:r>
      <w:r w:rsidR="00474255">
        <w:rPr>
          <w:rFonts w:ascii="Times" w:hAnsi="Times"/>
        </w:rPr>
        <w:t xml:space="preserve"> Pancbha</w:t>
      </w:r>
      <w:r w:rsidR="00C308B3">
        <w:rPr>
          <w:rFonts w:ascii="Times" w:hAnsi="Times"/>
        </w:rPr>
        <w:t>ya</w:t>
      </w:r>
    </w:p>
    <w:p w14:paraId="0D13DC01" w14:textId="75C06859" w:rsidR="0074578F" w:rsidRPr="001F4229" w:rsidRDefault="0074578F" w:rsidP="00F72B13">
      <w:pPr>
        <w:pStyle w:val="Heading1"/>
        <w:spacing w:before="0"/>
        <w:jc w:val="center"/>
        <w:rPr>
          <w:rFonts w:ascii="Times" w:hAnsi="Times"/>
          <w:color w:val="auto"/>
          <w:u w:val="single"/>
        </w:rPr>
      </w:pPr>
      <w:bookmarkStart w:id="57" w:name="_Toc411860424"/>
      <w:r w:rsidRPr="001F4229">
        <w:rPr>
          <w:rFonts w:ascii="Times" w:hAnsi="Times"/>
          <w:color w:val="auto"/>
          <w:u w:val="single"/>
        </w:rPr>
        <w:lastRenderedPageBreak/>
        <w:t>SCHEDULE A – LIST OF AUTHORITIES</w:t>
      </w:r>
      <w:r w:rsidR="008177DC">
        <w:rPr>
          <w:rFonts w:ascii="Times" w:hAnsi="Times"/>
          <w:color w:val="auto"/>
          <w:u w:val="single"/>
        </w:rPr>
        <w:br/>
        <w:t>(Does not include Crown authorities re-cited herein)</w:t>
      </w:r>
      <w:bookmarkEnd w:id="57"/>
    </w:p>
    <w:p w14:paraId="4DEBCAEF" w14:textId="540748CF" w:rsidR="0074578F" w:rsidRDefault="0074578F" w:rsidP="00397225">
      <w:pPr>
        <w:rPr>
          <w:rFonts w:ascii="Times" w:hAnsi="Times"/>
          <w:b/>
        </w:rPr>
      </w:pPr>
    </w:p>
    <w:p w14:paraId="6B6D26AD" w14:textId="77777777" w:rsidR="00CB2F22" w:rsidRDefault="00CB2F22" w:rsidP="004A120F">
      <w:pPr>
        <w:rPr>
          <w:rFonts w:ascii="Times Roman" w:hAnsi="Times Roman"/>
          <w:i/>
        </w:rPr>
      </w:pPr>
    </w:p>
    <w:p w14:paraId="4C80C19F" w14:textId="62F851F6" w:rsidR="00CB2F22" w:rsidRDefault="00CB2F22" w:rsidP="004A120F">
      <w:pPr>
        <w:rPr>
          <w:rFonts w:ascii="Times Roman" w:hAnsi="Times Roman"/>
          <w:i/>
        </w:rPr>
      </w:pPr>
      <w:r w:rsidRPr="00CB2F22">
        <w:rPr>
          <w:rFonts w:ascii="Times Roman" w:hAnsi="Times Roman"/>
          <w:i/>
        </w:rPr>
        <w:t>R v Castro, [2008] O.J. No. 2110</w:t>
      </w:r>
      <w:r>
        <w:rPr>
          <w:rFonts w:ascii="Times Roman" w:hAnsi="Times Roman"/>
          <w:i/>
        </w:rPr>
        <w:t>.</w:t>
      </w:r>
    </w:p>
    <w:p w14:paraId="0290D458" w14:textId="77777777" w:rsidR="00CB2F22" w:rsidRDefault="00CB2F22" w:rsidP="004A120F">
      <w:pPr>
        <w:rPr>
          <w:rFonts w:ascii="Times Roman" w:hAnsi="Times Roman"/>
          <w:i/>
        </w:rPr>
      </w:pPr>
    </w:p>
    <w:p w14:paraId="657F5FE2" w14:textId="58D4FA13" w:rsidR="004A120F" w:rsidRDefault="004A120F" w:rsidP="004A120F">
      <w:pPr>
        <w:rPr>
          <w:rFonts w:ascii="Times Roman" w:hAnsi="Times Roman"/>
          <w:bdr w:val="none" w:sz="0" w:space="0" w:color="auto" w:frame="1"/>
        </w:rPr>
      </w:pPr>
      <w:r w:rsidRPr="004A120F">
        <w:rPr>
          <w:rFonts w:ascii="Times Roman" w:hAnsi="Times Roman"/>
          <w:i/>
        </w:rPr>
        <w:t>R v. Howson</w:t>
      </w:r>
      <w:r w:rsidRPr="004A120F">
        <w:rPr>
          <w:rFonts w:ascii="Times Roman" w:hAnsi="Times Roman"/>
        </w:rPr>
        <w:t>, </w:t>
      </w:r>
      <w:r w:rsidRPr="004A120F">
        <w:rPr>
          <w:rFonts w:ascii="Times Roman" w:hAnsi="Times Roman"/>
          <w:bdr w:val="none" w:sz="0" w:space="0" w:color="auto" w:frame="1"/>
        </w:rPr>
        <w:t>[1966] 2 O.R. 63</w:t>
      </w:r>
      <w:r w:rsidR="002504B6">
        <w:rPr>
          <w:rFonts w:ascii="Times Roman" w:hAnsi="Times Roman"/>
          <w:bdr w:val="none" w:sz="0" w:space="0" w:color="auto" w:frame="1"/>
        </w:rPr>
        <w:t>.</w:t>
      </w:r>
    </w:p>
    <w:p w14:paraId="3E8D5BFB" w14:textId="77777777" w:rsidR="002504B6" w:rsidRDefault="002504B6" w:rsidP="004A120F">
      <w:pPr>
        <w:rPr>
          <w:rFonts w:ascii="Times Roman" w:hAnsi="Times Roman"/>
          <w:bdr w:val="none" w:sz="0" w:space="0" w:color="auto" w:frame="1"/>
        </w:rPr>
      </w:pPr>
    </w:p>
    <w:p w14:paraId="3303858A" w14:textId="77777777" w:rsidR="002504B6" w:rsidRPr="004A120F" w:rsidRDefault="002504B6" w:rsidP="002504B6">
      <w:pPr>
        <w:rPr>
          <w:rFonts w:ascii="Times Roman" w:hAnsi="Times Roman"/>
          <w:i/>
        </w:rPr>
      </w:pPr>
      <w:r w:rsidRPr="004A120F">
        <w:rPr>
          <w:rFonts w:ascii="Times Roman" w:hAnsi="Times Roman" w:cs="Times New Roman"/>
          <w:i/>
          <w:color w:val="212121"/>
          <w:lang w:val="en-GB"/>
        </w:rPr>
        <w:t xml:space="preserve">R v Ilcyzsynn </w:t>
      </w:r>
      <w:r w:rsidRPr="004A120F">
        <w:rPr>
          <w:rFonts w:ascii="Times New Roman" w:eastAsia="Times New Roman" w:hAnsi="Times New Roman" w:cs="Times New Roman"/>
          <w:lang w:val="en-GB"/>
        </w:rPr>
        <w:t>[1988] O.J. No. 1781 (ONCA).</w:t>
      </w:r>
    </w:p>
    <w:p w14:paraId="3AC1AC80" w14:textId="77777777" w:rsidR="002504B6" w:rsidRDefault="002504B6" w:rsidP="004A120F">
      <w:pPr>
        <w:rPr>
          <w:rFonts w:ascii="Times Roman" w:hAnsi="Times Roman"/>
          <w:bdr w:val="none" w:sz="0" w:space="0" w:color="auto" w:frame="1"/>
        </w:rPr>
      </w:pPr>
    </w:p>
    <w:p w14:paraId="58C25FA5" w14:textId="2697D1E5" w:rsidR="002504B6" w:rsidRDefault="002504B6" w:rsidP="002504B6">
      <w:pPr>
        <w:rPr>
          <w:rFonts w:ascii="Times Roman" w:hAnsi="Times Roman"/>
        </w:rPr>
      </w:pPr>
      <w:r w:rsidRPr="004A120F">
        <w:rPr>
          <w:rFonts w:ascii="Times Roman" w:eastAsia="Times New Roman" w:hAnsi="Times Roman" w:cs="Times New Roman"/>
          <w:i/>
          <w:shd w:val="clear" w:color="auto" w:fill="FFFFFF"/>
          <w:lang w:val="en-GB"/>
        </w:rPr>
        <w:t>R. v. Kishayinew</w:t>
      </w:r>
      <w:r w:rsidRPr="004A120F">
        <w:rPr>
          <w:rFonts w:ascii="Times Roman" w:eastAsia="Times New Roman" w:hAnsi="Times Roman" w:cs="Times New Roman"/>
          <w:shd w:val="clear" w:color="auto" w:fill="FFFFFF"/>
          <w:lang w:val="en-GB"/>
        </w:rPr>
        <w:t>, [2014] S.J. No. 714</w:t>
      </w:r>
      <w:r>
        <w:rPr>
          <w:rFonts w:ascii="Times Roman" w:eastAsia="Times New Roman" w:hAnsi="Times Roman" w:cs="Times New Roman"/>
          <w:shd w:val="clear" w:color="auto" w:fill="FFFFFF"/>
          <w:lang w:val="en-GB"/>
        </w:rPr>
        <w:t>.</w:t>
      </w:r>
    </w:p>
    <w:p w14:paraId="6604854E" w14:textId="77777777" w:rsidR="002504B6" w:rsidRDefault="002504B6" w:rsidP="002504B6">
      <w:pPr>
        <w:rPr>
          <w:rFonts w:ascii="Times Roman" w:hAnsi="Times Roman"/>
        </w:rPr>
      </w:pPr>
    </w:p>
    <w:p w14:paraId="4725063F" w14:textId="295C1110" w:rsidR="002504B6" w:rsidRDefault="002504B6" w:rsidP="002504B6">
      <w:pPr>
        <w:rPr>
          <w:rFonts w:ascii="Times Roman" w:hAnsi="Times Roman"/>
        </w:rPr>
      </w:pPr>
      <w:r w:rsidRPr="004A120F">
        <w:rPr>
          <w:rFonts w:ascii="Times Roman" w:hAnsi="Times Roman"/>
          <w:i/>
        </w:rPr>
        <w:t>R. v. Laroche</w:t>
      </w:r>
      <w:r w:rsidRPr="004A120F">
        <w:rPr>
          <w:rFonts w:ascii="Times Roman" w:hAnsi="Times Roman"/>
        </w:rPr>
        <w:t xml:space="preserve"> </w:t>
      </w:r>
      <w:hyperlink r:id="rId11" w:tooltip="Canadian Criminal Cases" w:history="1">
        <w:r w:rsidRPr="004A120F">
          <w:rPr>
            <w:rFonts w:ascii="Times Roman" w:hAnsi="Times Roman"/>
          </w:rPr>
          <w:t>[1963] 3 C.C.C. 5</w:t>
        </w:r>
      </w:hyperlink>
      <w:r w:rsidRPr="004A120F">
        <w:rPr>
          <w:rFonts w:ascii="Times Roman" w:hAnsi="Times Roman"/>
        </w:rPr>
        <w:t>, </w:t>
      </w:r>
      <w:hyperlink r:id="rId12" w:tooltip="Criminal Reports" w:history="1">
        <w:r w:rsidRPr="004A120F">
          <w:rPr>
            <w:rFonts w:ascii="Times Roman" w:hAnsi="Times Roman"/>
          </w:rPr>
          <w:t>40 C.R. 144</w:t>
        </w:r>
      </w:hyperlink>
      <w:r w:rsidRPr="004A120F">
        <w:rPr>
          <w:rFonts w:ascii="Times Roman" w:hAnsi="Times Roman"/>
        </w:rPr>
        <w:t xml:space="preserve"> (ONCA)</w:t>
      </w:r>
      <w:r>
        <w:rPr>
          <w:rFonts w:ascii="Times Roman" w:hAnsi="Times Roman"/>
        </w:rPr>
        <w:t>.</w:t>
      </w:r>
    </w:p>
    <w:p w14:paraId="2926CD36" w14:textId="77777777" w:rsidR="002504B6" w:rsidRPr="004A120F" w:rsidRDefault="002504B6" w:rsidP="002504B6">
      <w:pPr>
        <w:rPr>
          <w:rFonts w:ascii="Times Roman" w:hAnsi="Times Roman"/>
        </w:rPr>
      </w:pPr>
    </w:p>
    <w:p w14:paraId="726D7234" w14:textId="4C07689B" w:rsidR="002504B6" w:rsidRPr="004A120F" w:rsidRDefault="002504B6" w:rsidP="002504B6">
      <w:pPr>
        <w:rPr>
          <w:rFonts w:ascii="Times Roman" w:hAnsi="Times Roman"/>
        </w:rPr>
      </w:pPr>
      <w:r w:rsidRPr="004A120F">
        <w:rPr>
          <w:i/>
          <w:lang w:val="en-GB"/>
        </w:rPr>
        <w:t>R. v. Laroche,</w:t>
      </w:r>
      <w:r w:rsidRPr="004A120F">
        <w:rPr>
          <w:lang w:val="en-GB"/>
        </w:rPr>
        <w:t xml:space="preserve"> [1964] S.C.J. No. 47</w:t>
      </w:r>
      <w:r>
        <w:rPr>
          <w:lang w:val="en-GB"/>
        </w:rPr>
        <w:t>.</w:t>
      </w:r>
    </w:p>
    <w:p w14:paraId="567AFC11" w14:textId="77777777" w:rsidR="002504B6" w:rsidRPr="002504B6" w:rsidRDefault="002504B6" w:rsidP="002504B6">
      <w:pPr>
        <w:rPr>
          <w:rFonts w:ascii="Times Roman" w:hAnsi="Times Roman"/>
        </w:rPr>
      </w:pPr>
    </w:p>
    <w:p w14:paraId="53B17662" w14:textId="5344DB53" w:rsidR="004A120F" w:rsidRDefault="004A120F" w:rsidP="004A120F">
      <w:pPr>
        <w:rPr>
          <w:rFonts w:ascii="Times New Roman" w:hAnsi="Times New Roman" w:cs="Times New Roman"/>
          <w:lang w:val="en-US"/>
        </w:rPr>
      </w:pPr>
      <w:r w:rsidRPr="004A120F">
        <w:rPr>
          <w:rFonts w:ascii="Times Roman" w:hAnsi="Times Roman"/>
          <w:i/>
        </w:rPr>
        <w:t xml:space="preserve">R v Potts </w:t>
      </w:r>
      <w:r w:rsidRPr="004A120F">
        <w:rPr>
          <w:rFonts w:ascii="Times New Roman" w:hAnsi="Times New Roman" w:cs="Times New Roman"/>
          <w:lang w:val="en-US"/>
        </w:rPr>
        <w:t xml:space="preserve"> [1990] O.J. No. 2567</w:t>
      </w:r>
      <w:r w:rsidR="002504B6">
        <w:rPr>
          <w:rFonts w:ascii="Times New Roman" w:hAnsi="Times New Roman" w:cs="Times New Roman"/>
          <w:lang w:val="en-US"/>
        </w:rPr>
        <w:t>.</w:t>
      </w:r>
    </w:p>
    <w:p w14:paraId="49338729" w14:textId="77777777" w:rsidR="002504B6" w:rsidRDefault="002504B6" w:rsidP="002504B6">
      <w:pPr>
        <w:rPr>
          <w:rFonts w:ascii="Times Roman" w:hAnsi="Times Roman"/>
          <w:i/>
        </w:rPr>
      </w:pPr>
    </w:p>
    <w:p w14:paraId="3D538C20" w14:textId="139ED0E7" w:rsidR="002504B6" w:rsidRPr="004A120F" w:rsidRDefault="002504B6" w:rsidP="002504B6">
      <w:pPr>
        <w:rPr>
          <w:rFonts w:ascii="Times Roman" w:hAnsi="Times Roman"/>
          <w:bdr w:val="none" w:sz="0" w:space="0" w:color="auto" w:frame="1"/>
        </w:rPr>
      </w:pPr>
      <w:r w:rsidRPr="004A120F">
        <w:rPr>
          <w:rFonts w:ascii="Times Roman" w:hAnsi="Times Roman"/>
          <w:i/>
        </w:rPr>
        <w:t>R. v. Simpson</w:t>
      </w:r>
      <w:r w:rsidRPr="004A120F">
        <w:rPr>
          <w:rFonts w:ascii="Times Roman" w:hAnsi="Times Roman"/>
        </w:rPr>
        <w:t>, </w:t>
      </w:r>
      <w:r w:rsidRPr="004A120F">
        <w:rPr>
          <w:rFonts w:ascii="Times Roman" w:hAnsi="Times Roman"/>
          <w:bdr w:val="none" w:sz="0" w:space="0" w:color="auto" w:frame="1"/>
        </w:rPr>
        <w:t>[2015] 2 S.C.R. 827</w:t>
      </w:r>
      <w:r>
        <w:rPr>
          <w:rFonts w:ascii="Times Roman" w:hAnsi="Times Roman"/>
          <w:bdr w:val="none" w:sz="0" w:space="0" w:color="auto" w:frame="1"/>
        </w:rPr>
        <w:t>.</w:t>
      </w:r>
    </w:p>
    <w:p w14:paraId="78DFD0A0" w14:textId="77777777" w:rsidR="002504B6" w:rsidRPr="004A120F" w:rsidRDefault="002504B6" w:rsidP="004A120F">
      <w:pPr>
        <w:rPr>
          <w:rFonts w:ascii="Times New Roman" w:hAnsi="Times New Roman" w:cs="Times New Roman"/>
        </w:rPr>
      </w:pPr>
    </w:p>
    <w:p w14:paraId="5A175E13" w14:textId="509B4E6F" w:rsidR="004A120F" w:rsidRPr="004A120F" w:rsidRDefault="004A120F" w:rsidP="004A120F">
      <w:pPr>
        <w:rPr>
          <w:rFonts w:ascii="Times Roman" w:hAnsi="Times Roman"/>
          <w:i/>
        </w:rPr>
      </w:pPr>
    </w:p>
    <w:p w14:paraId="69D02FE2" w14:textId="38568DE9" w:rsidR="00397225" w:rsidRPr="00397225" w:rsidRDefault="00397225" w:rsidP="002312CB">
      <w:pPr>
        <w:rPr>
          <w:rFonts w:ascii="Times" w:hAnsi="Times"/>
        </w:rPr>
      </w:pPr>
    </w:p>
    <w:sectPr w:rsidR="00397225" w:rsidRPr="00397225" w:rsidSect="00E63B8A">
      <w:footerReference w:type="even" r:id="rId13"/>
      <w:footerReference w:type="default" r:id="rId14"/>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69628" w14:textId="77777777" w:rsidR="00560517" w:rsidRDefault="00560517" w:rsidP="00E63B8A">
      <w:r>
        <w:separator/>
      </w:r>
    </w:p>
  </w:endnote>
  <w:endnote w:type="continuationSeparator" w:id="0">
    <w:p w14:paraId="4EF91C89" w14:textId="77777777" w:rsidR="00560517" w:rsidRDefault="00560517" w:rsidP="00E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79A4" w14:textId="77777777" w:rsidR="008C0272" w:rsidRDefault="008C0272" w:rsidP="00E63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96184" w14:textId="77777777" w:rsidR="008C0272" w:rsidRDefault="008C0272" w:rsidP="00E63B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DB59" w14:textId="77777777" w:rsidR="008C0272" w:rsidRDefault="008C0272" w:rsidP="00E63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BE0">
      <w:rPr>
        <w:rStyle w:val="PageNumber"/>
        <w:noProof/>
      </w:rPr>
      <w:t>77</w:t>
    </w:r>
    <w:r>
      <w:rPr>
        <w:rStyle w:val="PageNumber"/>
      </w:rPr>
      <w:fldChar w:fldCharType="end"/>
    </w:r>
  </w:p>
  <w:p w14:paraId="59F2BCFF" w14:textId="77777777" w:rsidR="008C0272" w:rsidRDefault="008C0272" w:rsidP="00E63B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5ADEA" w14:textId="77777777" w:rsidR="00560517" w:rsidRDefault="00560517" w:rsidP="00E63B8A">
      <w:r>
        <w:separator/>
      </w:r>
    </w:p>
  </w:footnote>
  <w:footnote w:type="continuationSeparator" w:id="0">
    <w:p w14:paraId="1C894682" w14:textId="77777777" w:rsidR="00560517" w:rsidRDefault="00560517" w:rsidP="00E63B8A">
      <w:r>
        <w:continuationSeparator/>
      </w:r>
    </w:p>
  </w:footnote>
  <w:footnote w:id="1">
    <w:p w14:paraId="6D73BEAF" w14:textId="3E3AFBC9" w:rsidR="008C0272" w:rsidRPr="001961F2"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w:t>
      </w:r>
      <w:r w:rsidRPr="0034487F">
        <w:rPr>
          <w:rFonts w:ascii="Times" w:hAnsi="Times" w:cs="Times"/>
          <w:sz w:val="20"/>
          <w:szCs w:val="20"/>
        </w:rPr>
        <w:t>, 2018, page</w:t>
      </w:r>
      <w:r>
        <w:rPr>
          <w:rFonts w:ascii="Times" w:hAnsi="Times" w:cs="Times"/>
          <w:sz w:val="20"/>
          <w:szCs w:val="20"/>
        </w:rPr>
        <w:t>s 76-80</w:t>
      </w:r>
      <w:r w:rsidRPr="0034487F">
        <w:rPr>
          <w:rFonts w:ascii="Times" w:hAnsi="Times" w:cs="Times"/>
          <w:sz w:val="20"/>
          <w:szCs w:val="20"/>
        </w:rPr>
        <w:t>.</w:t>
      </w:r>
    </w:p>
  </w:footnote>
  <w:footnote w:id="2">
    <w:p w14:paraId="1D5DFF7D" w14:textId="5E22938B" w:rsidR="008C0272" w:rsidRPr="001961F2"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w:t>
      </w:r>
      <w:r w:rsidRPr="0034487F">
        <w:rPr>
          <w:rFonts w:ascii="Times" w:hAnsi="Times" w:cs="Times"/>
          <w:sz w:val="20"/>
          <w:szCs w:val="20"/>
        </w:rPr>
        <w:t>, 2018, page</w:t>
      </w:r>
      <w:r>
        <w:rPr>
          <w:rFonts w:ascii="Times" w:hAnsi="Times" w:cs="Times"/>
          <w:sz w:val="20"/>
          <w:szCs w:val="20"/>
        </w:rPr>
        <w:t xml:space="preserve"> 67</w:t>
      </w:r>
      <w:r w:rsidRPr="0034487F">
        <w:rPr>
          <w:rFonts w:ascii="Times" w:hAnsi="Times" w:cs="Times"/>
          <w:sz w:val="20"/>
          <w:szCs w:val="20"/>
        </w:rPr>
        <w:t>.</w:t>
      </w:r>
    </w:p>
  </w:footnote>
  <w:footnote w:id="3">
    <w:p w14:paraId="321CEAEF" w14:textId="1288B969" w:rsidR="008C0272" w:rsidRPr="001961F2"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w:t>
      </w:r>
      <w:r w:rsidRPr="0034487F">
        <w:rPr>
          <w:rFonts w:ascii="Times" w:hAnsi="Times" w:cs="Times"/>
          <w:sz w:val="20"/>
          <w:szCs w:val="20"/>
        </w:rPr>
        <w:t>, 2018, page</w:t>
      </w:r>
      <w:r>
        <w:rPr>
          <w:rFonts w:ascii="Times" w:hAnsi="Times" w:cs="Times"/>
          <w:sz w:val="20"/>
          <w:szCs w:val="20"/>
        </w:rPr>
        <w:t xml:space="preserve"> 137</w:t>
      </w:r>
      <w:r w:rsidRPr="0034487F">
        <w:rPr>
          <w:rFonts w:ascii="Times" w:hAnsi="Times" w:cs="Times"/>
          <w:sz w:val="20"/>
          <w:szCs w:val="20"/>
        </w:rPr>
        <w:t>.</w:t>
      </w:r>
    </w:p>
  </w:footnote>
  <w:footnote w:id="4">
    <w:p w14:paraId="0D2A178F" w14:textId="2395492B" w:rsidR="008C0272" w:rsidRPr="009807A3" w:rsidRDefault="008C0272">
      <w:pPr>
        <w:pStyle w:val="FootnoteText"/>
        <w:rPr>
          <w:lang w:val="en-US"/>
        </w:rPr>
      </w:pPr>
      <w:r>
        <w:rPr>
          <w:rStyle w:val="FootnoteReference"/>
        </w:rPr>
        <w:footnoteRef/>
      </w:r>
      <w:r>
        <w:t xml:space="preserve"> </w:t>
      </w:r>
      <w:r w:rsidRPr="009807A3">
        <w:rPr>
          <w:sz w:val="20"/>
          <w:szCs w:val="20"/>
          <w:lang w:val="en-US"/>
        </w:rPr>
        <w:t>See Crown Trial Brief Volume 3, Tab 6.</w:t>
      </w:r>
    </w:p>
  </w:footnote>
  <w:footnote w:id="5">
    <w:p w14:paraId="367E930A" w14:textId="190731B4" w:rsidR="008C0272" w:rsidRPr="009807A3" w:rsidRDefault="008C0272">
      <w:pPr>
        <w:pStyle w:val="FootnoteText"/>
        <w:rPr>
          <w:lang w:val="en-US"/>
        </w:rPr>
      </w:pPr>
      <w:r>
        <w:rPr>
          <w:rStyle w:val="FootnoteReference"/>
        </w:rPr>
        <w:footnoteRef/>
      </w:r>
      <w:r>
        <w:t xml:space="preserve"> </w:t>
      </w:r>
      <w:r w:rsidRPr="009807A3">
        <w:rPr>
          <w:sz w:val="20"/>
          <w:szCs w:val="20"/>
          <w:lang w:val="en-US"/>
        </w:rPr>
        <w:t xml:space="preserve">See Crown Trial Brief Volume 3, Tab </w:t>
      </w:r>
      <w:r>
        <w:rPr>
          <w:sz w:val="20"/>
          <w:szCs w:val="20"/>
          <w:lang w:val="en-US"/>
        </w:rPr>
        <w:t>7.</w:t>
      </w:r>
    </w:p>
  </w:footnote>
  <w:footnote w:id="6">
    <w:p w14:paraId="09DDEBC2" w14:textId="2E33FBEA" w:rsidR="008C0272" w:rsidRPr="003D313F"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w:t>
      </w:r>
      <w:r w:rsidRPr="0034487F">
        <w:rPr>
          <w:rFonts w:ascii="Times" w:hAnsi="Times" w:cs="Times"/>
          <w:sz w:val="20"/>
          <w:szCs w:val="20"/>
        </w:rPr>
        <w:t>, 2018, page</w:t>
      </w:r>
      <w:r>
        <w:rPr>
          <w:rFonts w:ascii="Times" w:hAnsi="Times" w:cs="Times"/>
          <w:sz w:val="20"/>
          <w:szCs w:val="20"/>
        </w:rPr>
        <w:t xml:space="preserve"> 36.</w:t>
      </w:r>
    </w:p>
  </w:footnote>
  <w:footnote w:id="7">
    <w:p w14:paraId="5C05C9B4" w14:textId="3ADB2146" w:rsidR="008C0272" w:rsidRPr="003D313F"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23</w:t>
      </w:r>
      <w:r w:rsidRPr="0034487F">
        <w:rPr>
          <w:rFonts w:ascii="Times" w:hAnsi="Times" w:cs="Times"/>
          <w:sz w:val="20"/>
          <w:szCs w:val="20"/>
        </w:rPr>
        <w:t>, 2018, page</w:t>
      </w:r>
      <w:r>
        <w:rPr>
          <w:rFonts w:ascii="Times" w:hAnsi="Times" w:cs="Times"/>
          <w:sz w:val="20"/>
          <w:szCs w:val="20"/>
        </w:rPr>
        <w:t xml:space="preserve"> 33.</w:t>
      </w:r>
    </w:p>
  </w:footnote>
  <w:footnote w:id="8">
    <w:p w14:paraId="496E2388" w14:textId="2D86EF29" w:rsidR="008C0272" w:rsidRPr="009807A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w:t>
      </w:r>
      <w:r w:rsidRPr="0034487F">
        <w:rPr>
          <w:rFonts w:ascii="Times" w:hAnsi="Times" w:cs="Times"/>
          <w:sz w:val="20"/>
          <w:szCs w:val="20"/>
        </w:rPr>
        <w:t>, 2018, page</w:t>
      </w:r>
      <w:r>
        <w:rPr>
          <w:rFonts w:ascii="Times" w:hAnsi="Times" w:cs="Times"/>
          <w:sz w:val="20"/>
          <w:szCs w:val="20"/>
        </w:rPr>
        <w:t xml:space="preserve"> 51.</w:t>
      </w:r>
    </w:p>
  </w:footnote>
  <w:footnote w:id="9">
    <w:p w14:paraId="6B4DAC31" w14:textId="58D730A6" w:rsidR="008C0272" w:rsidRPr="006441CC" w:rsidRDefault="008C0272" w:rsidP="006441CC">
      <w:pPr>
        <w:rPr>
          <w:rFonts w:ascii="Times New Roman" w:eastAsia="Times New Roman" w:hAnsi="Times New Roman" w:cs="Times New Roman"/>
          <w:sz w:val="20"/>
          <w:szCs w:val="20"/>
          <w:lang w:val="en-GB"/>
        </w:rPr>
      </w:pPr>
      <w:r>
        <w:rPr>
          <w:rStyle w:val="FootnoteReference"/>
        </w:rPr>
        <w:footnoteRef/>
      </w:r>
      <w:r>
        <w:t xml:space="preserve"> </w:t>
      </w:r>
      <w:r w:rsidRPr="006441CC">
        <w:rPr>
          <w:rFonts w:ascii="CG Times" w:eastAsia="Times New Roman" w:hAnsi="CG Times" w:cs="Times New Roman"/>
          <w:i/>
          <w:color w:val="000000"/>
          <w:spacing w:val="-3"/>
          <w:sz w:val="20"/>
          <w:szCs w:val="20"/>
          <w:lang w:val="en-GB"/>
        </w:rPr>
        <w:t>R. </w:t>
      </w:r>
      <w:r w:rsidRPr="006441CC">
        <w:rPr>
          <w:rFonts w:ascii="CG Times" w:eastAsia="Times New Roman" w:hAnsi="CG Times" w:cs="Times New Roman"/>
          <w:i/>
          <w:iCs/>
          <w:color w:val="000000"/>
          <w:spacing w:val="-3"/>
          <w:sz w:val="20"/>
          <w:szCs w:val="20"/>
          <w:lang w:val="en-GB"/>
        </w:rPr>
        <w:t>v.</w:t>
      </w:r>
      <w:r w:rsidRPr="006441CC">
        <w:rPr>
          <w:rFonts w:ascii="CG Times" w:eastAsia="Times New Roman" w:hAnsi="CG Times" w:cs="Times New Roman"/>
          <w:i/>
          <w:color w:val="000000"/>
          <w:spacing w:val="-3"/>
          <w:sz w:val="20"/>
          <w:szCs w:val="20"/>
          <w:lang w:val="en-GB"/>
        </w:rPr>
        <w:t> Zlatic</w:t>
      </w:r>
      <w:r w:rsidRPr="006441CC">
        <w:rPr>
          <w:rFonts w:ascii="CG Times" w:eastAsia="Times New Roman" w:hAnsi="CG Times" w:cs="Times New Roman"/>
          <w:color w:val="000000"/>
          <w:spacing w:val="-3"/>
          <w:sz w:val="20"/>
          <w:szCs w:val="20"/>
          <w:lang w:val="en-GB"/>
        </w:rPr>
        <w:t>, [1993] 2 S.C.R. 29</w:t>
      </w:r>
      <w:r>
        <w:rPr>
          <w:rFonts w:ascii="CG Times" w:eastAsia="Times New Roman" w:hAnsi="CG Times" w:cs="Times New Roman"/>
          <w:color w:val="000000"/>
          <w:spacing w:val="-3"/>
          <w:sz w:val="20"/>
          <w:szCs w:val="20"/>
          <w:lang w:val="en-GB"/>
        </w:rPr>
        <w:t>.</w:t>
      </w:r>
    </w:p>
  </w:footnote>
  <w:footnote w:id="10">
    <w:p w14:paraId="6BB030A6" w14:textId="479C78E8" w:rsidR="008C0272" w:rsidRPr="006441CC" w:rsidRDefault="008C0272">
      <w:pPr>
        <w:pStyle w:val="FootnoteText"/>
        <w:rPr>
          <w:lang w:val="en-US"/>
        </w:rPr>
      </w:pPr>
      <w:r>
        <w:rPr>
          <w:rStyle w:val="FootnoteReference"/>
        </w:rPr>
        <w:footnoteRef/>
      </w:r>
      <w:r>
        <w:t xml:space="preserve"> </w:t>
      </w:r>
      <w:r w:rsidRPr="006441CC">
        <w:rPr>
          <w:i/>
          <w:sz w:val="20"/>
          <w:szCs w:val="20"/>
          <w:lang w:val="en-US"/>
        </w:rPr>
        <w:t xml:space="preserve">R v Castro, </w:t>
      </w:r>
      <w:r w:rsidRPr="006441CC">
        <w:rPr>
          <w:sz w:val="20"/>
          <w:szCs w:val="20"/>
          <w:lang w:val="en-US"/>
        </w:rPr>
        <w:t>[2008] O.J. No. 2110 at para 56.</w:t>
      </w:r>
      <w:r>
        <w:rPr>
          <w:lang w:val="en-US"/>
        </w:rPr>
        <w:t xml:space="preserve"> </w:t>
      </w:r>
    </w:p>
  </w:footnote>
  <w:footnote w:id="11">
    <w:p w14:paraId="02576EC2" w14:textId="47F5ED07" w:rsidR="008C0272" w:rsidRPr="006441CC" w:rsidRDefault="008C0272">
      <w:pPr>
        <w:pStyle w:val="FootnoteText"/>
        <w:rPr>
          <w:sz w:val="20"/>
          <w:szCs w:val="20"/>
          <w:lang w:val="en-US"/>
        </w:rPr>
      </w:pPr>
      <w:r>
        <w:rPr>
          <w:rStyle w:val="FootnoteReference"/>
        </w:rPr>
        <w:footnoteRef/>
      </w:r>
      <w:r>
        <w:t xml:space="preserve"> </w:t>
      </w:r>
      <w:r w:rsidRPr="006441CC">
        <w:rPr>
          <w:i/>
          <w:sz w:val="20"/>
          <w:szCs w:val="20"/>
          <w:lang w:val="en-US"/>
        </w:rPr>
        <w:t xml:space="preserve">Ibid </w:t>
      </w:r>
      <w:r w:rsidRPr="006441CC">
        <w:rPr>
          <w:sz w:val="20"/>
          <w:szCs w:val="20"/>
          <w:lang w:val="en-US"/>
        </w:rPr>
        <w:t>at para 57.</w:t>
      </w:r>
    </w:p>
  </w:footnote>
  <w:footnote w:id="12">
    <w:p w14:paraId="0071F808" w14:textId="1A9A42F6" w:rsidR="008C0272" w:rsidRPr="006441CC" w:rsidRDefault="008C0272">
      <w:pPr>
        <w:pStyle w:val="FootnoteText"/>
        <w:rPr>
          <w:lang w:val="en-US"/>
        </w:rPr>
      </w:pPr>
      <w:r w:rsidRPr="006441CC">
        <w:rPr>
          <w:rStyle w:val="FootnoteReference"/>
          <w:sz w:val="20"/>
          <w:szCs w:val="20"/>
        </w:rPr>
        <w:footnoteRef/>
      </w:r>
      <w:r w:rsidRPr="006441CC">
        <w:rPr>
          <w:sz w:val="20"/>
          <w:szCs w:val="20"/>
        </w:rPr>
        <w:t xml:space="preserve"> </w:t>
      </w:r>
      <w:r w:rsidRPr="006441CC">
        <w:rPr>
          <w:i/>
          <w:sz w:val="20"/>
          <w:szCs w:val="20"/>
          <w:lang w:val="en-US"/>
        </w:rPr>
        <w:t xml:space="preserve">Ibid </w:t>
      </w:r>
      <w:r w:rsidRPr="006441CC">
        <w:rPr>
          <w:sz w:val="20"/>
          <w:szCs w:val="20"/>
          <w:lang w:val="en-US"/>
        </w:rPr>
        <w:t>at para 59.</w:t>
      </w:r>
    </w:p>
  </w:footnote>
  <w:footnote w:id="13">
    <w:p w14:paraId="1082FEF3" w14:textId="4EA29CAA" w:rsidR="008C0272" w:rsidRPr="006441CC" w:rsidRDefault="008C0272">
      <w:pPr>
        <w:pStyle w:val="FootnoteText"/>
        <w:rPr>
          <w:lang w:val="en-US"/>
        </w:rPr>
      </w:pPr>
      <w:r>
        <w:rPr>
          <w:rStyle w:val="FootnoteReference"/>
        </w:rPr>
        <w:footnoteRef/>
      </w:r>
      <w:r>
        <w:t xml:space="preserve"> </w:t>
      </w:r>
      <w:r w:rsidRPr="006441CC">
        <w:rPr>
          <w:i/>
          <w:sz w:val="20"/>
          <w:szCs w:val="20"/>
          <w:lang w:val="en-US"/>
        </w:rPr>
        <w:t xml:space="preserve">Ibid </w:t>
      </w:r>
      <w:r w:rsidRPr="006441CC">
        <w:rPr>
          <w:sz w:val="20"/>
          <w:szCs w:val="20"/>
          <w:lang w:val="en-US"/>
        </w:rPr>
        <w:t>at para 59</w:t>
      </w:r>
      <w:r>
        <w:rPr>
          <w:sz w:val="20"/>
          <w:szCs w:val="20"/>
          <w:lang w:val="en-US"/>
        </w:rPr>
        <w:t xml:space="preserve"> and 62.</w:t>
      </w:r>
    </w:p>
  </w:footnote>
  <w:footnote w:id="14">
    <w:p w14:paraId="00DA4857" w14:textId="0D2F2B0D" w:rsidR="008C0272" w:rsidRPr="008552E4" w:rsidRDefault="008C0272">
      <w:pPr>
        <w:pStyle w:val="FootnoteText"/>
        <w:rPr>
          <w:lang w:val="en-US"/>
        </w:rPr>
      </w:pPr>
      <w:r>
        <w:rPr>
          <w:rStyle w:val="FootnoteReference"/>
        </w:rPr>
        <w:footnoteRef/>
      </w:r>
      <w:r>
        <w:t xml:space="preserve"> </w:t>
      </w:r>
      <w:r w:rsidRPr="001961F2">
        <w:rPr>
          <w:rFonts w:ascii="Times Roman" w:hAnsi="Times Roman"/>
          <w:i/>
          <w:sz w:val="20"/>
          <w:szCs w:val="20"/>
        </w:rPr>
        <w:t>R. v. DeMarco</w:t>
      </w:r>
      <w:r w:rsidRPr="001961F2">
        <w:rPr>
          <w:rFonts w:ascii="Times Roman" w:hAnsi="Times Roman"/>
          <w:sz w:val="20"/>
          <w:szCs w:val="20"/>
        </w:rPr>
        <w:t>, </w:t>
      </w:r>
      <w:r w:rsidRPr="001961F2">
        <w:rPr>
          <w:rFonts w:ascii="Times Roman" w:hAnsi="Times Roman"/>
          <w:sz w:val="20"/>
          <w:szCs w:val="20"/>
          <w:bdr w:val="none" w:sz="0" w:space="0" w:color="auto" w:frame="1"/>
        </w:rPr>
        <w:t>[1973] O.J. No. 533 at para 8.</w:t>
      </w:r>
    </w:p>
  </w:footnote>
  <w:footnote w:id="15">
    <w:p w14:paraId="1E7A8FCA" w14:textId="5FE40455" w:rsidR="008C0272" w:rsidRPr="008552E4" w:rsidRDefault="008C0272">
      <w:pPr>
        <w:pStyle w:val="FootnoteText"/>
        <w:rPr>
          <w:lang w:val="en-US"/>
        </w:rPr>
      </w:pPr>
      <w:r>
        <w:rPr>
          <w:rStyle w:val="FootnoteReference"/>
        </w:rPr>
        <w:footnoteRef/>
      </w:r>
      <w:r>
        <w:t xml:space="preserve"> </w:t>
      </w:r>
      <w:r w:rsidRPr="009807A3">
        <w:rPr>
          <w:rFonts w:ascii="Times Roman" w:hAnsi="Times Roman"/>
          <w:i/>
          <w:sz w:val="20"/>
          <w:szCs w:val="20"/>
        </w:rPr>
        <w:t>R v. Howson</w:t>
      </w:r>
      <w:r w:rsidRPr="009807A3">
        <w:rPr>
          <w:rFonts w:ascii="Times Roman" w:hAnsi="Times Roman"/>
          <w:sz w:val="20"/>
          <w:szCs w:val="20"/>
        </w:rPr>
        <w:t>, </w:t>
      </w:r>
      <w:r w:rsidRPr="009807A3">
        <w:rPr>
          <w:rFonts w:ascii="Times Roman" w:hAnsi="Times Roman"/>
          <w:sz w:val="20"/>
          <w:szCs w:val="20"/>
          <w:bdr w:val="none" w:sz="0" w:space="0" w:color="auto" w:frame="1"/>
        </w:rPr>
        <w:t>[1966] 2 O.R. 63 at p. 3.</w:t>
      </w:r>
      <w:r>
        <w:rPr>
          <w:rFonts w:ascii="Times Roman" w:hAnsi="Times Roman"/>
          <w:bdr w:val="none" w:sz="0" w:space="0" w:color="auto" w:frame="1"/>
        </w:rPr>
        <w:t xml:space="preserve"> </w:t>
      </w:r>
    </w:p>
  </w:footnote>
  <w:footnote w:id="16">
    <w:p w14:paraId="5F76008F" w14:textId="1241C3FF" w:rsidR="008C0272" w:rsidRPr="00F220F8" w:rsidRDefault="008C0272">
      <w:pPr>
        <w:pStyle w:val="FootnoteText"/>
        <w:rPr>
          <w:sz w:val="20"/>
          <w:szCs w:val="20"/>
          <w:lang w:val="en-US"/>
        </w:rPr>
      </w:pPr>
      <w:r w:rsidRPr="00F220F8">
        <w:rPr>
          <w:rStyle w:val="FootnoteReference"/>
          <w:sz w:val="20"/>
          <w:szCs w:val="20"/>
        </w:rPr>
        <w:footnoteRef/>
      </w:r>
      <w:r w:rsidRPr="00F220F8">
        <w:rPr>
          <w:sz w:val="20"/>
          <w:szCs w:val="20"/>
        </w:rPr>
        <w:t xml:space="preserve"> </w:t>
      </w:r>
      <w:r w:rsidRPr="00F220F8">
        <w:rPr>
          <w:rFonts w:ascii="Times Roman" w:hAnsi="Times Roman"/>
          <w:i/>
          <w:sz w:val="20"/>
          <w:szCs w:val="20"/>
        </w:rPr>
        <w:t>R. v. Simpson</w:t>
      </w:r>
      <w:r w:rsidRPr="00F220F8">
        <w:rPr>
          <w:rFonts w:ascii="Times Roman" w:hAnsi="Times Roman"/>
          <w:sz w:val="20"/>
          <w:szCs w:val="20"/>
        </w:rPr>
        <w:t>, </w:t>
      </w:r>
      <w:r w:rsidRPr="00F220F8">
        <w:rPr>
          <w:rFonts w:ascii="Times Roman" w:hAnsi="Times Roman"/>
          <w:sz w:val="20"/>
          <w:szCs w:val="20"/>
          <w:bdr w:val="none" w:sz="0" w:space="0" w:color="auto" w:frame="1"/>
        </w:rPr>
        <w:t xml:space="preserve">[2015] 2 S.C.R. 827 at para 32. </w:t>
      </w:r>
    </w:p>
  </w:footnote>
  <w:footnote w:id="17">
    <w:p w14:paraId="0A26B755" w14:textId="6E07145C" w:rsidR="008C0272" w:rsidRPr="00F220F8" w:rsidRDefault="008C0272">
      <w:pPr>
        <w:pStyle w:val="FootnoteText"/>
        <w:rPr>
          <w:sz w:val="20"/>
          <w:szCs w:val="20"/>
          <w:lang w:val="en-US"/>
        </w:rPr>
      </w:pPr>
      <w:r w:rsidRPr="00F220F8">
        <w:rPr>
          <w:rStyle w:val="FootnoteReference"/>
          <w:sz w:val="20"/>
          <w:szCs w:val="20"/>
        </w:rPr>
        <w:footnoteRef/>
      </w:r>
      <w:r w:rsidRPr="00F220F8">
        <w:rPr>
          <w:sz w:val="20"/>
          <w:szCs w:val="20"/>
        </w:rPr>
        <w:t xml:space="preserve"> </w:t>
      </w:r>
      <w:r w:rsidRPr="00F220F8">
        <w:rPr>
          <w:rFonts w:ascii="Times Roman" w:hAnsi="Times Roman"/>
          <w:i/>
          <w:sz w:val="20"/>
          <w:szCs w:val="20"/>
        </w:rPr>
        <w:t>R v. Howson</w:t>
      </w:r>
      <w:r w:rsidRPr="00F220F8">
        <w:rPr>
          <w:rFonts w:ascii="Times Roman" w:hAnsi="Times Roman"/>
          <w:sz w:val="20"/>
          <w:szCs w:val="20"/>
        </w:rPr>
        <w:t>, </w:t>
      </w:r>
      <w:r w:rsidRPr="00F220F8">
        <w:rPr>
          <w:rFonts w:ascii="Times Roman" w:hAnsi="Times Roman"/>
          <w:sz w:val="20"/>
          <w:szCs w:val="20"/>
          <w:bdr w:val="none" w:sz="0" w:space="0" w:color="auto" w:frame="1"/>
        </w:rPr>
        <w:t xml:space="preserve">[1966] 2 O.R. 63 at p. 3. </w:t>
      </w:r>
    </w:p>
  </w:footnote>
  <w:footnote w:id="18">
    <w:p w14:paraId="2D23D399" w14:textId="1F91763B" w:rsidR="008C0272" w:rsidRPr="00F220F8" w:rsidRDefault="008C0272">
      <w:pPr>
        <w:pStyle w:val="FootnoteText"/>
        <w:rPr>
          <w:sz w:val="20"/>
          <w:szCs w:val="20"/>
          <w:lang w:val="en-US"/>
        </w:rPr>
      </w:pPr>
      <w:r w:rsidRPr="00F220F8">
        <w:rPr>
          <w:rStyle w:val="FootnoteReference"/>
          <w:sz w:val="20"/>
          <w:szCs w:val="20"/>
        </w:rPr>
        <w:footnoteRef/>
      </w:r>
      <w:r w:rsidRPr="00F220F8">
        <w:rPr>
          <w:sz w:val="20"/>
          <w:szCs w:val="20"/>
        </w:rPr>
        <w:t xml:space="preserve"> </w:t>
      </w:r>
      <w:r w:rsidRPr="00F220F8">
        <w:rPr>
          <w:rFonts w:ascii="Times Roman" w:eastAsia="Times New Roman" w:hAnsi="Times Roman" w:cs="Times New Roman"/>
          <w:i/>
          <w:sz w:val="20"/>
          <w:szCs w:val="20"/>
          <w:shd w:val="clear" w:color="auto" w:fill="FFFFFF"/>
          <w:lang w:val="en-GB"/>
        </w:rPr>
        <w:t>R. v. Kishayinew</w:t>
      </w:r>
      <w:r w:rsidRPr="00F220F8">
        <w:rPr>
          <w:rFonts w:ascii="Times Roman" w:eastAsia="Times New Roman" w:hAnsi="Times Roman" w:cs="Times New Roman"/>
          <w:sz w:val="20"/>
          <w:szCs w:val="20"/>
          <w:shd w:val="clear" w:color="auto" w:fill="FFFFFF"/>
          <w:lang w:val="en-GB"/>
        </w:rPr>
        <w:t xml:space="preserve">, [2014] S.J. No. 714 </w:t>
      </w:r>
      <w:r w:rsidRPr="00F220F8">
        <w:rPr>
          <w:rFonts w:ascii="Times Roman" w:hAnsi="Times Roman"/>
          <w:sz w:val="20"/>
          <w:szCs w:val="20"/>
        </w:rPr>
        <w:t xml:space="preserve"> at </w:t>
      </w:r>
      <w:r w:rsidRPr="00F220F8">
        <w:rPr>
          <w:rFonts w:ascii="Times Roman" w:eastAsia="Times New Roman" w:hAnsi="Times Roman" w:cs="Times New Roman"/>
          <w:sz w:val="20"/>
          <w:szCs w:val="20"/>
          <w:shd w:val="clear" w:color="auto" w:fill="FFFFFF"/>
          <w:lang w:val="en-GB"/>
        </w:rPr>
        <w:t>para 21.</w:t>
      </w:r>
    </w:p>
  </w:footnote>
  <w:footnote w:id="19">
    <w:p w14:paraId="59BA655D" w14:textId="78598D86" w:rsidR="008C0272" w:rsidRPr="008552E4" w:rsidRDefault="008C0272">
      <w:pPr>
        <w:pStyle w:val="FootnoteText"/>
        <w:rPr>
          <w:lang w:val="en-US"/>
        </w:rPr>
      </w:pPr>
      <w:r w:rsidRPr="00F220F8">
        <w:rPr>
          <w:rStyle w:val="FootnoteReference"/>
          <w:sz w:val="20"/>
          <w:szCs w:val="20"/>
        </w:rPr>
        <w:footnoteRef/>
      </w:r>
      <w:r w:rsidRPr="00F220F8">
        <w:rPr>
          <w:sz w:val="20"/>
          <w:szCs w:val="20"/>
        </w:rPr>
        <w:t xml:space="preserve"> </w:t>
      </w:r>
      <w:r w:rsidRPr="00F220F8">
        <w:rPr>
          <w:rFonts w:ascii="Times Roman" w:hAnsi="Times Roman"/>
          <w:i/>
          <w:sz w:val="20"/>
          <w:szCs w:val="20"/>
        </w:rPr>
        <w:t>R. v. Laroche</w:t>
      </w:r>
      <w:r w:rsidRPr="00F220F8">
        <w:rPr>
          <w:rFonts w:ascii="Times Roman" w:hAnsi="Times Roman"/>
          <w:sz w:val="20"/>
          <w:szCs w:val="20"/>
        </w:rPr>
        <w:t xml:space="preserve"> </w:t>
      </w:r>
      <w:hyperlink r:id="rId1" w:tooltip="Canadian Criminal Cases" w:history="1">
        <w:r w:rsidRPr="00F220F8">
          <w:rPr>
            <w:rFonts w:ascii="Times Roman" w:hAnsi="Times Roman"/>
            <w:sz w:val="20"/>
            <w:szCs w:val="20"/>
          </w:rPr>
          <w:t>[1963] 3 C.C.C. 5</w:t>
        </w:r>
      </w:hyperlink>
      <w:r w:rsidRPr="00F220F8">
        <w:rPr>
          <w:rFonts w:ascii="Times Roman" w:hAnsi="Times Roman"/>
          <w:sz w:val="20"/>
          <w:szCs w:val="20"/>
        </w:rPr>
        <w:t>, </w:t>
      </w:r>
      <w:hyperlink r:id="rId2" w:tooltip="Criminal Reports" w:history="1">
        <w:r w:rsidRPr="00F220F8">
          <w:rPr>
            <w:rFonts w:ascii="Times Roman" w:hAnsi="Times Roman"/>
            <w:sz w:val="20"/>
            <w:szCs w:val="20"/>
          </w:rPr>
          <w:t>40 C.R. 144</w:t>
        </w:r>
      </w:hyperlink>
      <w:r w:rsidRPr="00F220F8">
        <w:rPr>
          <w:rFonts w:ascii="Times Roman" w:hAnsi="Times Roman"/>
          <w:sz w:val="20"/>
          <w:szCs w:val="20"/>
        </w:rPr>
        <w:t xml:space="preserve"> (ONCA) at para 13.</w:t>
      </w:r>
      <w:r>
        <w:rPr>
          <w:rFonts w:ascii="Times Roman" w:hAnsi="Times Roman"/>
        </w:rPr>
        <w:t xml:space="preserve"> </w:t>
      </w:r>
    </w:p>
  </w:footnote>
  <w:footnote w:id="20">
    <w:p w14:paraId="164A5526" w14:textId="2DC1D971" w:rsidR="008C0272" w:rsidRPr="004A120F" w:rsidRDefault="008C0272" w:rsidP="004A120F">
      <w:pPr>
        <w:rPr>
          <w:rFonts w:ascii="Times New Roman" w:eastAsia="Times New Roman" w:hAnsi="Times New Roman" w:cs="Times New Roman"/>
          <w:sz w:val="20"/>
          <w:szCs w:val="20"/>
          <w:lang w:val="en-GB"/>
        </w:rPr>
      </w:pPr>
      <w:r>
        <w:rPr>
          <w:rStyle w:val="FootnoteReference"/>
        </w:rPr>
        <w:footnoteRef/>
      </w:r>
      <w:r>
        <w:t xml:space="preserve"> </w:t>
      </w:r>
      <w:r w:rsidRPr="004A120F">
        <w:rPr>
          <w:i/>
          <w:sz w:val="20"/>
          <w:szCs w:val="20"/>
          <w:lang w:val="en-GB"/>
        </w:rPr>
        <w:t>R. v. Laroche,</w:t>
      </w:r>
      <w:r w:rsidRPr="004A120F">
        <w:rPr>
          <w:sz w:val="20"/>
          <w:szCs w:val="20"/>
          <w:lang w:val="en-GB"/>
        </w:rPr>
        <w:t xml:space="preserve"> [1964] S.C.J. No. 47</w:t>
      </w:r>
      <w:r>
        <w:rPr>
          <w:sz w:val="20"/>
          <w:szCs w:val="20"/>
          <w:lang w:val="en-GB"/>
        </w:rPr>
        <w:t>.</w:t>
      </w:r>
    </w:p>
  </w:footnote>
  <w:footnote w:id="21">
    <w:p w14:paraId="1CC9A71D" w14:textId="00BF7E59" w:rsidR="008C0272" w:rsidRPr="004A120F" w:rsidRDefault="008C0272">
      <w:pPr>
        <w:pStyle w:val="FootnoteText"/>
        <w:rPr>
          <w:i/>
          <w:lang w:val="en-US"/>
        </w:rPr>
      </w:pPr>
      <w:r>
        <w:rPr>
          <w:rStyle w:val="FootnoteReference"/>
        </w:rPr>
        <w:footnoteRef/>
      </w:r>
      <w:r>
        <w:t xml:space="preserve"> </w:t>
      </w:r>
      <w:r w:rsidRPr="004A120F">
        <w:rPr>
          <w:i/>
          <w:sz w:val="20"/>
          <w:szCs w:val="20"/>
        </w:rPr>
        <w:t>Ibid at pg. 5.</w:t>
      </w:r>
    </w:p>
  </w:footnote>
  <w:footnote w:id="22">
    <w:p w14:paraId="054A9338" w14:textId="6BC54DC3" w:rsidR="008C0272" w:rsidRPr="008B2295" w:rsidRDefault="008C0272" w:rsidP="008B2295">
      <w:pPr>
        <w:rPr>
          <w:rFonts w:ascii="Times New Roman" w:eastAsia="Times New Roman" w:hAnsi="Times New Roman" w:cs="Times New Roman"/>
          <w:sz w:val="20"/>
          <w:szCs w:val="20"/>
          <w:lang w:val="en-GB"/>
        </w:rPr>
      </w:pPr>
      <w:r>
        <w:rPr>
          <w:rStyle w:val="FootnoteReference"/>
        </w:rPr>
        <w:footnoteRef/>
      </w:r>
      <w:r>
        <w:t xml:space="preserve"> </w:t>
      </w:r>
      <w:r w:rsidRPr="008B2295">
        <w:rPr>
          <w:rFonts w:ascii="Times New Roman" w:eastAsia="Times New Roman" w:hAnsi="Times New Roman" w:cs="Times New Roman"/>
          <w:sz w:val="20"/>
          <w:szCs w:val="20"/>
          <w:lang w:val="en-GB"/>
        </w:rPr>
        <w:t>[1988] O.J. No. 1781</w:t>
      </w:r>
      <w:r>
        <w:rPr>
          <w:rFonts w:ascii="Times New Roman" w:eastAsia="Times New Roman" w:hAnsi="Times New Roman" w:cs="Times New Roman"/>
          <w:sz w:val="20"/>
          <w:szCs w:val="20"/>
          <w:lang w:val="en-GB"/>
        </w:rPr>
        <w:t xml:space="preserve"> (ONCA).</w:t>
      </w:r>
    </w:p>
  </w:footnote>
  <w:footnote w:id="23">
    <w:p w14:paraId="5FA67DAC" w14:textId="13C06227" w:rsidR="008C0272" w:rsidRPr="008B2295" w:rsidRDefault="008C0272" w:rsidP="008B2295">
      <w:pPr>
        <w:pStyle w:val="FootnoteText"/>
        <w:rPr>
          <w:lang w:val="en-US"/>
        </w:rPr>
      </w:pPr>
      <w:r>
        <w:rPr>
          <w:rStyle w:val="FootnoteReference"/>
        </w:rPr>
        <w:footnoteRef/>
      </w:r>
      <w:r>
        <w:t xml:space="preserve"> </w:t>
      </w:r>
      <w:r w:rsidRPr="008B2295">
        <w:rPr>
          <w:i/>
          <w:sz w:val="20"/>
          <w:szCs w:val="20"/>
        </w:rPr>
        <w:t xml:space="preserve">Ibid </w:t>
      </w:r>
      <w:r w:rsidRPr="008B2295">
        <w:rPr>
          <w:sz w:val="20"/>
          <w:szCs w:val="20"/>
        </w:rPr>
        <w:t>at pg 4, para 2.</w:t>
      </w:r>
    </w:p>
  </w:footnote>
  <w:footnote w:id="24">
    <w:p w14:paraId="743F7D98" w14:textId="003A528C" w:rsidR="008C0272" w:rsidRPr="008552E4" w:rsidRDefault="008C0272">
      <w:pPr>
        <w:pStyle w:val="FootnoteText"/>
        <w:rPr>
          <w:lang w:val="en-US"/>
        </w:rPr>
      </w:pPr>
      <w:r>
        <w:rPr>
          <w:rStyle w:val="FootnoteReference"/>
        </w:rPr>
        <w:footnoteRef/>
      </w:r>
      <w:r>
        <w:t xml:space="preserve"> </w:t>
      </w:r>
      <w:r>
        <w:rPr>
          <w:rFonts w:ascii="Times New Roman" w:hAnsi="Times New Roman" w:cs="Times New Roman"/>
          <w:sz w:val="20"/>
          <w:szCs w:val="20"/>
          <w:lang w:val="en-US"/>
        </w:rPr>
        <w:t xml:space="preserve"> [1990] O.J. No. 2567</w:t>
      </w:r>
    </w:p>
  </w:footnote>
  <w:footnote w:id="25">
    <w:p w14:paraId="03DEFFB7" w14:textId="48ED2F1C" w:rsidR="008C0272" w:rsidRPr="00CB2F22"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w:t>
      </w:r>
      <w:r w:rsidRPr="0034487F">
        <w:rPr>
          <w:rFonts w:ascii="Times" w:hAnsi="Times" w:cs="Times"/>
          <w:sz w:val="20"/>
          <w:szCs w:val="20"/>
        </w:rPr>
        <w:t>, 2018, page</w:t>
      </w:r>
      <w:r>
        <w:rPr>
          <w:rFonts w:ascii="Times" w:hAnsi="Times" w:cs="Times"/>
          <w:sz w:val="20"/>
          <w:szCs w:val="20"/>
        </w:rPr>
        <w:t>s 39-42.</w:t>
      </w:r>
    </w:p>
  </w:footnote>
  <w:footnote w:id="26">
    <w:p w14:paraId="340D4849" w14:textId="2500EF52" w:rsidR="008C0272" w:rsidRPr="00D62FC4"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w:t>
      </w:r>
      <w:r w:rsidRPr="0034487F">
        <w:rPr>
          <w:rFonts w:ascii="Times" w:hAnsi="Times" w:cs="Times"/>
          <w:sz w:val="20"/>
          <w:szCs w:val="20"/>
        </w:rPr>
        <w:t>, 2018, page</w:t>
      </w:r>
      <w:r>
        <w:rPr>
          <w:rFonts w:ascii="Times" w:hAnsi="Times" w:cs="Times"/>
          <w:sz w:val="20"/>
          <w:szCs w:val="20"/>
        </w:rPr>
        <w:t>s 17-18</w:t>
      </w:r>
      <w:r w:rsidRPr="0034487F">
        <w:rPr>
          <w:rFonts w:ascii="Times" w:hAnsi="Times" w:cs="Times"/>
          <w:sz w:val="20"/>
          <w:szCs w:val="20"/>
        </w:rPr>
        <w:t>.</w:t>
      </w:r>
    </w:p>
  </w:footnote>
  <w:footnote w:id="27">
    <w:p w14:paraId="5719FAB6" w14:textId="3FCE6D20" w:rsidR="008C0272" w:rsidRPr="00330E08"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w:t>
      </w:r>
      <w:r w:rsidRPr="0034487F">
        <w:rPr>
          <w:rFonts w:ascii="Times" w:hAnsi="Times" w:cs="Times"/>
          <w:sz w:val="20"/>
          <w:szCs w:val="20"/>
        </w:rPr>
        <w:t>, 2018, page</w:t>
      </w:r>
      <w:r>
        <w:rPr>
          <w:rFonts w:ascii="Times" w:hAnsi="Times" w:cs="Times"/>
          <w:sz w:val="20"/>
          <w:szCs w:val="20"/>
        </w:rPr>
        <w:t>s</w:t>
      </w:r>
      <w:r w:rsidRPr="0034487F">
        <w:rPr>
          <w:rFonts w:ascii="Times" w:hAnsi="Times" w:cs="Times"/>
          <w:sz w:val="20"/>
          <w:szCs w:val="20"/>
        </w:rPr>
        <w:t xml:space="preserve"> </w:t>
      </w:r>
      <w:r>
        <w:rPr>
          <w:rFonts w:ascii="Times" w:hAnsi="Times" w:cs="Times"/>
          <w:sz w:val="20"/>
          <w:szCs w:val="20"/>
        </w:rPr>
        <w:t>5, 49-50.</w:t>
      </w:r>
    </w:p>
  </w:footnote>
  <w:footnote w:id="28">
    <w:p w14:paraId="402912E7" w14:textId="023C8DF5" w:rsidR="008C0272" w:rsidRPr="002727D8"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w:t>
      </w:r>
      <w:r w:rsidRPr="0034487F">
        <w:rPr>
          <w:rFonts w:ascii="Times" w:hAnsi="Times" w:cs="Times"/>
          <w:sz w:val="20"/>
          <w:szCs w:val="20"/>
        </w:rPr>
        <w:t>, 2018, page</w:t>
      </w:r>
      <w:r>
        <w:rPr>
          <w:rFonts w:ascii="Times" w:hAnsi="Times" w:cs="Times"/>
          <w:sz w:val="20"/>
          <w:szCs w:val="20"/>
        </w:rPr>
        <w:t>s 51-52</w:t>
      </w:r>
      <w:r w:rsidRPr="0034487F">
        <w:rPr>
          <w:rFonts w:ascii="Times" w:hAnsi="Times" w:cs="Times"/>
          <w:sz w:val="20"/>
          <w:szCs w:val="20"/>
        </w:rPr>
        <w:t>.</w:t>
      </w:r>
    </w:p>
  </w:footnote>
  <w:footnote w:id="29">
    <w:p w14:paraId="5E6B9A44" w14:textId="6355A527" w:rsidR="008C0272" w:rsidRPr="003B7061"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52, 59</w:t>
      </w:r>
      <w:r w:rsidRPr="0034487F">
        <w:rPr>
          <w:rFonts w:ascii="Times" w:hAnsi="Times" w:cs="Times"/>
          <w:sz w:val="20"/>
          <w:szCs w:val="20"/>
        </w:rPr>
        <w:t>.</w:t>
      </w:r>
    </w:p>
  </w:footnote>
  <w:footnote w:id="30">
    <w:p w14:paraId="5EB0072E" w14:textId="754E778F" w:rsidR="008C0272" w:rsidRPr="00D3218C"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51-52.</w:t>
      </w:r>
    </w:p>
  </w:footnote>
  <w:footnote w:id="31">
    <w:p w14:paraId="3FDCAD93" w14:textId="0F4222A5" w:rsidR="008C0272" w:rsidRPr="008A5D12"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57.</w:t>
      </w:r>
    </w:p>
  </w:footnote>
  <w:footnote w:id="32">
    <w:p w14:paraId="49A012A3" w14:textId="400CFD74" w:rsidR="008C0272" w:rsidRPr="00AC221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52</w:t>
      </w:r>
      <w:r w:rsidRPr="0034487F">
        <w:rPr>
          <w:rFonts w:ascii="Times" w:hAnsi="Times" w:cs="Times"/>
          <w:sz w:val="20"/>
          <w:szCs w:val="20"/>
        </w:rPr>
        <w:t>.</w:t>
      </w:r>
    </w:p>
  </w:footnote>
  <w:footnote w:id="33">
    <w:p w14:paraId="16FB8126" w14:textId="7CA51F8C" w:rsidR="008C0272" w:rsidRPr="00AC221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53</w:t>
      </w:r>
      <w:r w:rsidRPr="0034487F">
        <w:rPr>
          <w:rFonts w:ascii="Times" w:hAnsi="Times" w:cs="Times"/>
          <w:sz w:val="20"/>
          <w:szCs w:val="20"/>
        </w:rPr>
        <w:t>.</w:t>
      </w:r>
    </w:p>
  </w:footnote>
  <w:footnote w:id="34">
    <w:p w14:paraId="44AC81F1" w14:textId="5458947E" w:rsidR="008C0272" w:rsidRPr="00AC221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54</w:t>
      </w:r>
      <w:r w:rsidRPr="0034487F">
        <w:rPr>
          <w:rFonts w:ascii="Times" w:hAnsi="Times" w:cs="Times"/>
          <w:sz w:val="20"/>
          <w:szCs w:val="20"/>
        </w:rPr>
        <w:t>.</w:t>
      </w:r>
    </w:p>
  </w:footnote>
  <w:footnote w:id="35">
    <w:p w14:paraId="42C18213" w14:textId="3CB7501D" w:rsidR="008C0272" w:rsidRPr="00AC221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54</w:t>
      </w:r>
      <w:r w:rsidRPr="0034487F">
        <w:rPr>
          <w:rFonts w:ascii="Times" w:hAnsi="Times" w:cs="Times"/>
          <w:sz w:val="20"/>
          <w:szCs w:val="20"/>
        </w:rPr>
        <w:t>.</w:t>
      </w:r>
    </w:p>
  </w:footnote>
  <w:footnote w:id="36">
    <w:p w14:paraId="0AB45D68" w14:textId="68641A66" w:rsidR="008C0272" w:rsidRPr="008A5D12"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57</w:t>
      </w:r>
      <w:r w:rsidRPr="0034487F">
        <w:rPr>
          <w:rFonts w:ascii="Times" w:hAnsi="Times" w:cs="Times"/>
          <w:sz w:val="20"/>
          <w:szCs w:val="20"/>
        </w:rPr>
        <w:t>.</w:t>
      </w:r>
    </w:p>
  </w:footnote>
  <w:footnote w:id="37">
    <w:p w14:paraId="7B9EA732" w14:textId="77777777" w:rsidR="008C0272" w:rsidRPr="00BA7389" w:rsidRDefault="008C0272" w:rsidP="003E7DBF">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15</w:t>
      </w:r>
      <w:r w:rsidRPr="0034487F">
        <w:rPr>
          <w:rFonts w:ascii="Times" w:hAnsi="Times" w:cs="Times"/>
          <w:sz w:val="20"/>
          <w:szCs w:val="20"/>
        </w:rPr>
        <w:t>.</w:t>
      </w:r>
    </w:p>
  </w:footnote>
  <w:footnote w:id="38">
    <w:p w14:paraId="5343CBEF" w14:textId="58A188DB" w:rsidR="008C0272" w:rsidRPr="002459CF" w:rsidRDefault="008C0272">
      <w:pPr>
        <w:pStyle w:val="FootnoteText"/>
        <w:rPr>
          <w:lang w:val="en-US"/>
        </w:rPr>
      </w:pPr>
      <w:r>
        <w:rPr>
          <w:rStyle w:val="FootnoteReference"/>
        </w:rPr>
        <w:footnoteRef/>
      </w:r>
      <w:r>
        <w:t xml:space="preserve"> </w:t>
      </w:r>
      <w:r w:rsidRPr="002459CF">
        <w:rPr>
          <w:sz w:val="20"/>
          <w:szCs w:val="20"/>
          <w:lang w:val="en-US"/>
        </w:rPr>
        <w:t>See Exhibit 1B.</w:t>
      </w:r>
    </w:p>
  </w:footnote>
  <w:footnote w:id="39">
    <w:p w14:paraId="4C1288F5" w14:textId="2FD3151B" w:rsidR="008C0272" w:rsidRPr="00B91609" w:rsidRDefault="008C0272">
      <w:pPr>
        <w:pStyle w:val="FootnoteText"/>
        <w:rPr>
          <w:lang w:val="en-US"/>
        </w:rPr>
      </w:pPr>
      <w:r>
        <w:rPr>
          <w:rStyle w:val="FootnoteReference"/>
        </w:rPr>
        <w:footnoteRef/>
      </w:r>
      <w:r>
        <w:t xml:space="preserve"> </w:t>
      </w:r>
      <w:r w:rsidRPr="00B91609">
        <w:rPr>
          <w:sz w:val="20"/>
          <w:szCs w:val="20"/>
          <w:lang w:val="en-US"/>
        </w:rPr>
        <w:t>See Crown Brief Volume 1, Tab 1D, page 3, Tab 3, Page 27.</w:t>
      </w:r>
      <w:r>
        <w:rPr>
          <w:lang w:val="en-US"/>
        </w:rPr>
        <w:t xml:space="preserve"> </w:t>
      </w:r>
    </w:p>
  </w:footnote>
  <w:footnote w:id="40">
    <w:p w14:paraId="0D5F944A" w14:textId="1EB93ABC" w:rsidR="008C0272" w:rsidRPr="00E45F46"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79</w:t>
      </w:r>
      <w:r w:rsidRPr="0034487F">
        <w:rPr>
          <w:rFonts w:ascii="Times" w:hAnsi="Times" w:cs="Times"/>
          <w:sz w:val="20"/>
          <w:szCs w:val="20"/>
        </w:rPr>
        <w:t>.</w:t>
      </w:r>
    </w:p>
  </w:footnote>
  <w:footnote w:id="41">
    <w:p w14:paraId="17F3B7B6" w14:textId="0754F655" w:rsidR="008C0272" w:rsidRPr="00E45F46"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79</w:t>
      </w:r>
      <w:r w:rsidRPr="0034487F">
        <w:rPr>
          <w:rFonts w:ascii="Times" w:hAnsi="Times" w:cs="Times"/>
          <w:sz w:val="20"/>
          <w:szCs w:val="20"/>
        </w:rPr>
        <w:t>.</w:t>
      </w:r>
    </w:p>
  </w:footnote>
  <w:footnote w:id="42">
    <w:p w14:paraId="1E136ED4" w14:textId="61B8D8FB" w:rsidR="008C0272" w:rsidRPr="00B91609" w:rsidRDefault="008C0272">
      <w:pPr>
        <w:pStyle w:val="FootnoteText"/>
        <w:rPr>
          <w:lang w:val="en-US"/>
        </w:rPr>
      </w:pPr>
      <w:r>
        <w:rPr>
          <w:rStyle w:val="FootnoteReference"/>
        </w:rPr>
        <w:footnoteRef/>
      </w:r>
      <w:r>
        <w:t xml:space="preserve"> </w:t>
      </w:r>
      <w:r w:rsidRPr="00B91609">
        <w:rPr>
          <w:sz w:val="20"/>
          <w:szCs w:val="20"/>
          <w:lang w:val="en-US"/>
        </w:rPr>
        <w:t>See Crown Tr</w:t>
      </w:r>
      <w:r>
        <w:rPr>
          <w:sz w:val="20"/>
          <w:szCs w:val="20"/>
          <w:lang w:val="en-US"/>
        </w:rPr>
        <w:t xml:space="preserve">ial Brief Volume 1, Tab 2, Pages 4-10. </w:t>
      </w:r>
    </w:p>
  </w:footnote>
  <w:footnote w:id="43">
    <w:p w14:paraId="05CDCDFC" w14:textId="06FFEACF" w:rsidR="008C0272" w:rsidRPr="00E45F46"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83</w:t>
      </w:r>
      <w:r w:rsidRPr="0034487F">
        <w:rPr>
          <w:rFonts w:ascii="Times" w:hAnsi="Times" w:cs="Times"/>
          <w:sz w:val="20"/>
          <w:szCs w:val="20"/>
        </w:rPr>
        <w:t>.</w:t>
      </w:r>
    </w:p>
  </w:footnote>
  <w:footnote w:id="44">
    <w:p w14:paraId="05E9CFB0" w14:textId="77777777" w:rsidR="008C0272" w:rsidRPr="00E45F46" w:rsidRDefault="008C0272" w:rsidP="00B91609">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16, 2018, page 84</w:t>
      </w:r>
      <w:r w:rsidRPr="0034487F">
        <w:rPr>
          <w:rFonts w:ascii="Times" w:hAnsi="Times" w:cs="Times"/>
          <w:sz w:val="20"/>
          <w:szCs w:val="20"/>
        </w:rPr>
        <w:t>.</w:t>
      </w:r>
    </w:p>
  </w:footnote>
  <w:footnote w:id="45">
    <w:p w14:paraId="5DB4E55B" w14:textId="2FACEE87" w:rsidR="008C0272" w:rsidRPr="00B959ED"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15, 2018, page 85.</w:t>
      </w:r>
    </w:p>
  </w:footnote>
  <w:footnote w:id="46">
    <w:p w14:paraId="7414D5CC" w14:textId="4BB78060" w:rsidR="008C0272" w:rsidRPr="00C813F3" w:rsidRDefault="008C0272">
      <w:pPr>
        <w:pStyle w:val="FootnoteText"/>
        <w:rPr>
          <w:lang w:val="en-US"/>
        </w:rPr>
      </w:pPr>
      <w:r>
        <w:rPr>
          <w:rStyle w:val="FootnoteReference"/>
        </w:rPr>
        <w:footnoteRef/>
      </w:r>
      <w:r>
        <w:t xml:space="preserve"> </w:t>
      </w:r>
      <w:r w:rsidRPr="00C813F3">
        <w:rPr>
          <w:sz w:val="20"/>
          <w:szCs w:val="20"/>
          <w:lang w:val="en-US"/>
        </w:rPr>
        <w:t>Trial Brief VII, Tab 6, page 5.</w:t>
      </w:r>
      <w:r>
        <w:rPr>
          <w:lang w:val="en-US"/>
        </w:rPr>
        <w:t xml:space="preserve"> </w:t>
      </w:r>
    </w:p>
  </w:footnote>
  <w:footnote w:id="47">
    <w:p w14:paraId="6F89E107" w14:textId="032BEEE7" w:rsidR="008C0272" w:rsidRPr="006F2CF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15, 2018, page 14, 17</w:t>
      </w:r>
      <w:r w:rsidRPr="0034487F">
        <w:rPr>
          <w:rFonts w:ascii="Times" w:hAnsi="Times" w:cs="Times"/>
          <w:sz w:val="20"/>
          <w:szCs w:val="20"/>
        </w:rPr>
        <w:t>.</w:t>
      </w:r>
    </w:p>
  </w:footnote>
  <w:footnote w:id="48">
    <w:p w14:paraId="3D922064" w14:textId="0F7C561F" w:rsidR="008C0272" w:rsidRPr="006F3947"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15, 2018, page 86.</w:t>
      </w:r>
    </w:p>
  </w:footnote>
  <w:footnote w:id="49">
    <w:p w14:paraId="2B681BC8" w14:textId="4ABD2462" w:rsidR="008C0272" w:rsidRPr="000F7140"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15, 2018, page 89-90.</w:t>
      </w:r>
    </w:p>
  </w:footnote>
  <w:footnote w:id="50">
    <w:p w14:paraId="69603BC8" w14:textId="5CE33585" w:rsidR="008C0272" w:rsidRPr="00C71B99"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15, 2018, page 91-92.</w:t>
      </w:r>
    </w:p>
  </w:footnote>
  <w:footnote w:id="51">
    <w:p w14:paraId="703F0EE8" w14:textId="7AF8BBFC" w:rsidR="008C0272" w:rsidRPr="0099234F"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November 15, 2018, page 86-87. </w:t>
      </w:r>
    </w:p>
  </w:footnote>
  <w:footnote w:id="52">
    <w:p w14:paraId="05E79523" w14:textId="4D761CD0" w:rsidR="008C0272" w:rsidRPr="00D62FC4"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2018, page 91-92.</w:t>
      </w:r>
    </w:p>
  </w:footnote>
  <w:footnote w:id="53">
    <w:p w14:paraId="63FF35DC" w14:textId="3728F602" w:rsidR="008C0272" w:rsidRPr="00B53529"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19, 2018, page 13, 14.</w:t>
      </w:r>
    </w:p>
  </w:footnote>
  <w:footnote w:id="54">
    <w:p w14:paraId="3906DBD5" w14:textId="28801770" w:rsidR="008C0272" w:rsidRPr="00D62FC4" w:rsidRDefault="008C0272">
      <w:pPr>
        <w:pStyle w:val="FootnoteText"/>
        <w:rPr>
          <w:lang w:val="en-US"/>
        </w:rPr>
      </w:pPr>
      <w:r>
        <w:rPr>
          <w:rStyle w:val="FootnoteReference"/>
        </w:rPr>
        <w:footnoteRef/>
      </w:r>
      <w:r>
        <w:t xml:space="preserve"> </w:t>
      </w:r>
      <w:r w:rsidRPr="000B2E52">
        <w:rPr>
          <w:sz w:val="20"/>
          <w:szCs w:val="20"/>
          <w:lang w:val="en-US"/>
        </w:rPr>
        <w:t>See Exhibit 40.</w:t>
      </w:r>
    </w:p>
  </w:footnote>
  <w:footnote w:id="55">
    <w:p w14:paraId="21ECB2F9" w14:textId="4B9243B7" w:rsidR="008C0272" w:rsidRPr="00D62FC4" w:rsidRDefault="008C0272">
      <w:pPr>
        <w:pStyle w:val="FootnoteText"/>
        <w:rPr>
          <w:lang w:val="en-US"/>
        </w:rPr>
      </w:pPr>
      <w:r>
        <w:rPr>
          <w:rStyle w:val="FootnoteReference"/>
        </w:rPr>
        <w:footnoteRef/>
      </w:r>
      <w:r>
        <w:t xml:space="preserve"> </w:t>
      </w:r>
      <w:r w:rsidRPr="00996164">
        <w:rPr>
          <w:sz w:val="20"/>
          <w:szCs w:val="20"/>
          <w:lang w:val="en-US"/>
        </w:rPr>
        <w:t>See Crown Brief Volume 3, Tab 5.</w:t>
      </w:r>
    </w:p>
  </w:footnote>
  <w:footnote w:id="56">
    <w:p w14:paraId="24467E1F" w14:textId="05C20751" w:rsidR="008C0272" w:rsidRPr="00B342C9" w:rsidRDefault="008C0272">
      <w:pPr>
        <w:pStyle w:val="FootnoteText"/>
        <w:rPr>
          <w:lang w:val="en-US"/>
        </w:rPr>
      </w:pPr>
      <w:r>
        <w:rPr>
          <w:rStyle w:val="FootnoteReference"/>
        </w:rPr>
        <w:footnoteRef/>
      </w:r>
      <w:r>
        <w:t xml:space="preserve"> </w:t>
      </w:r>
      <w:r w:rsidRPr="00B342C9">
        <w:rPr>
          <w:sz w:val="20"/>
          <w:szCs w:val="20"/>
          <w:lang w:val="en-US"/>
        </w:rPr>
        <w:t>See Exhibit 44</w:t>
      </w:r>
    </w:p>
  </w:footnote>
  <w:footnote w:id="57">
    <w:p w14:paraId="14ACB060" w14:textId="7B6BAC69" w:rsidR="008C0272" w:rsidRPr="00996164" w:rsidRDefault="008C0272">
      <w:pPr>
        <w:pStyle w:val="FootnoteText"/>
        <w:rPr>
          <w:lang w:val="en-US"/>
        </w:rPr>
      </w:pPr>
      <w:r>
        <w:rPr>
          <w:rStyle w:val="FootnoteReference"/>
        </w:rPr>
        <w:footnoteRef/>
      </w:r>
      <w:r>
        <w:t xml:space="preserve"> </w:t>
      </w:r>
      <w:r w:rsidRPr="00996164">
        <w:rPr>
          <w:sz w:val="20"/>
          <w:szCs w:val="20"/>
          <w:lang w:val="en-US"/>
        </w:rPr>
        <w:t>See Crown Brief Volume 3, Tab 5.</w:t>
      </w:r>
    </w:p>
  </w:footnote>
  <w:footnote w:id="58">
    <w:p w14:paraId="78C5D99D" w14:textId="3906E521" w:rsidR="008C0272" w:rsidRPr="00996164"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19, 2018, page 30.</w:t>
      </w:r>
    </w:p>
  </w:footnote>
  <w:footnote w:id="59">
    <w:p w14:paraId="27DB8E09" w14:textId="720C81DD" w:rsidR="008C0272" w:rsidRPr="00930506" w:rsidRDefault="008C0272">
      <w:pPr>
        <w:pStyle w:val="FootnoteText"/>
        <w:rPr>
          <w:lang w:val="en-US"/>
        </w:rPr>
      </w:pPr>
      <w:r>
        <w:rPr>
          <w:rStyle w:val="FootnoteReference"/>
        </w:rPr>
        <w:footnoteRef/>
      </w:r>
      <w:r>
        <w:t xml:space="preserve"> </w:t>
      </w:r>
      <w:r w:rsidRPr="00930506">
        <w:rPr>
          <w:sz w:val="20"/>
          <w:szCs w:val="20"/>
          <w:lang w:val="en-US"/>
        </w:rPr>
        <w:t>See exhibit 44, page 20, section 8.7</w:t>
      </w:r>
      <w:r>
        <w:rPr>
          <w:sz w:val="20"/>
          <w:szCs w:val="20"/>
          <w:lang w:val="en-US"/>
        </w:rPr>
        <w:t xml:space="preserve"> and Crown Trial Brief Volume 3, Tab 5, Section 6.1 </w:t>
      </w:r>
    </w:p>
  </w:footnote>
  <w:footnote w:id="60">
    <w:p w14:paraId="10EE2E2D" w14:textId="5507D891" w:rsidR="008C0272" w:rsidRPr="00B86396"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19, 2018, page 13.</w:t>
      </w:r>
    </w:p>
  </w:footnote>
  <w:footnote w:id="61">
    <w:p w14:paraId="1A62F66E" w14:textId="730307BE" w:rsidR="008C0272" w:rsidRPr="00D62FC4"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30-31.</w:t>
      </w:r>
    </w:p>
  </w:footnote>
  <w:footnote w:id="62">
    <w:p w14:paraId="47BE6F90" w14:textId="7AC3B8AA" w:rsidR="008C0272" w:rsidRPr="00B4278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November 19, 2018, page 56-57, </w:t>
      </w:r>
      <w:r>
        <w:rPr>
          <w:sz w:val="20"/>
          <w:szCs w:val="20"/>
          <w:lang w:val="en-US"/>
        </w:rPr>
        <w:t>s</w:t>
      </w:r>
      <w:r w:rsidRPr="00B42783">
        <w:rPr>
          <w:sz w:val="20"/>
          <w:szCs w:val="20"/>
          <w:lang w:val="en-US"/>
        </w:rPr>
        <w:t xml:space="preserve">ee </w:t>
      </w:r>
      <w:r>
        <w:rPr>
          <w:sz w:val="20"/>
          <w:szCs w:val="20"/>
          <w:lang w:val="en-US"/>
        </w:rPr>
        <w:t xml:space="preserve">also </w:t>
      </w:r>
      <w:r w:rsidRPr="00B42783">
        <w:rPr>
          <w:sz w:val="20"/>
          <w:szCs w:val="20"/>
          <w:lang w:val="en-US"/>
        </w:rPr>
        <w:t>exhibit 47.</w:t>
      </w:r>
    </w:p>
  </w:footnote>
  <w:footnote w:id="63">
    <w:p w14:paraId="6EF548E5" w14:textId="1F8A035E" w:rsidR="008C0272" w:rsidRPr="00D62FC4" w:rsidRDefault="008C0272">
      <w:pPr>
        <w:pStyle w:val="FootnoteText"/>
        <w:rPr>
          <w:lang w:val="en-US"/>
        </w:rPr>
      </w:pPr>
      <w:r>
        <w:rPr>
          <w:rStyle w:val="FootnoteReference"/>
        </w:rPr>
        <w:footnoteRef/>
      </w:r>
      <w:r>
        <w:t xml:space="preserve"> </w:t>
      </w:r>
      <w:r w:rsidRPr="005E2284">
        <w:rPr>
          <w:sz w:val="20"/>
          <w:szCs w:val="20"/>
        </w:rPr>
        <w:t>See Exhibit 25.</w:t>
      </w:r>
    </w:p>
  </w:footnote>
  <w:footnote w:id="64">
    <w:p w14:paraId="1497F5C1" w14:textId="0882E409" w:rsidR="008C0272" w:rsidRPr="00C34D56"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October 3, 2018, page 30-31. </w:t>
      </w:r>
    </w:p>
  </w:footnote>
  <w:footnote w:id="65">
    <w:p w14:paraId="65074C04" w14:textId="1E67C135" w:rsidR="008C0272" w:rsidRPr="00512420"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36.</w:t>
      </w:r>
    </w:p>
  </w:footnote>
  <w:footnote w:id="66">
    <w:p w14:paraId="4910BDBB" w14:textId="0B35CEF8" w:rsidR="008C0272" w:rsidRPr="009955D6"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59-60.</w:t>
      </w:r>
    </w:p>
  </w:footnote>
  <w:footnote w:id="67">
    <w:p w14:paraId="6292F9DB" w14:textId="3409B894" w:rsidR="008C0272" w:rsidRPr="00271F75"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25, 2018, page 30.</w:t>
      </w:r>
    </w:p>
  </w:footnote>
  <w:footnote w:id="68">
    <w:p w14:paraId="43A2A287" w14:textId="3C383ED5" w:rsidR="008C0272" w:rsidRPr="00C34D56"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34.</w:t>
      </w:r>
    </w:p>
  </w:footnote>
  <w:footnote w:id="69">
    <w:p w14:paraId="70C838ED" w14:textId="28B3B83A" w:rsidR="008C0272" w:rsidRPr="004C7B25" w:rsidRDefault="008C0272">
      <w:pPr>
        <w:pStyle w:val="FootnoteText"/>
        <w:rPr>
          <w:lang w:val="en-US"/>
        </w:rPr>
      </w:pPr>
      <w:r>
        <w:rPr>
          <w:rStyle w:val="FootnoteReference"/>
        </w:rPr>
        <w:footnoteRef/>
      </w:r>
      <w:r>
        <w:t xml:space="preserve"> </w:t>
      </w:r>
      <w:r w:rsidRPr="004C7B25">
        <w:rPr>
          <w:sz w:val="20"/>
          <w:szCs w:val="20"/>
          <w:lang w:val="en-US"/>
        </w:rPr>
        <w:t>See Crown Trial Brief Volume 5C, Tab 1, Para 20.</w:t>
      </w:r>
      <w:r>
        <w:rPr>
          <w:lang w:val="en-US"/>
        </w:rPr>
        <w:t xml:space="preserve"> </w:t>
      </w:r>
    </w:p>
  </w:footnote>
  <w:footnote w:id="70">
    <w:p w14:paraId="10259C63" w14:textId="38C9D59E" w:rsidR="008C0272" w:rsidRPr="00D62FC4"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47.</w:t>
      </w:r>
    </w:p>
  </w:footnote>
  <w:footnote w:id="71">
    <w:p w14:paraId="531A016E" w14:textId="3160321B" w:rsidR="008C0272" w:rsidRPr="00526D88"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48, 65, 90.</w:t>
      </w:r>
    </w:p>
  </w:footnote>
  <w:footnote w:id="72">
    <w:p w14:paraId="4FFF61ED" w14:textId="7333D25B" w:rsidR="008C0272" w:rsidRPr="00511D9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61-62.</w:t>
      </w:r>
    </w:p>
  </w:footnote>
  <w:footnote w:id="73">
    <w:p w14:paraId="7642E18F" w14:textId="055935F1" w:rsidR="008C0272" w:rsidRPr="0032709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56.</w:t>
      </w:r>
    </w:p>
  </w:footnote>
  <w:footnote w:id="74">
    <w:p w14:paraId="4E6A2FCD" w14:textId="43D5BC7F" w:rsidR="008C0272" w:rsidRPr="00327093" w:rsidRDefault="008C0272">
      <w:pPr>
        <w:pStyle w:val="FootnoteText"/>
        <w:rPr>
          <w:i/>
          <w:lang w:val="en-US"/>
        </w:rPr>
      </w:pPr>
      <w:r>
        <w:rPr>
          <w:rStyle w:val="FootnoteReference"/>
        </w:rPr>
        <w:footnoteRef/>
      </w:r>
      <w:r>
        <w:t xml:space="preserve"> </w:t>
      </w:r>
      <w:r w:rsidRPr="00327093">
        <w:rPr>
          <w:i/>
          <w:sz w:val="20"/>
          <w:szCs w:val="20"/>
          <w:lang w:val="en-US"/>
        </w:rPr>
        <w:t>Ibid.</w:t>
      </w:r>
      <w:r>
        <w:rPr>
          <w:i/>
          <w:lang w:val="en-US"/>
        </w:rPr>
        <w:t xml:space="preserve"> </w:t>
      </w:r>
    </w:p>
  </w:footnote>
  <w:footnote w:id="75">
    <w:p w14:paraId="1F30AD04" w14:textId="1D58D96E" w:rsidR="008C0272" w:rsidRPr="00327093"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57.</w:t>
      </w:r>
    </w:p>
  </w:footnote>
  <w:footnote w:id="76">
    <w:p w14:paraId="14FE8F18" w14:textId="1143F939" w:rsidR="008C0272" w:rsidRPr="009D3109"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77.</w:t>
      </w:r>
    </w:p>
  </w:footnote>
  <w:footnote w:id="77">
    <w:p w14:paraId="69CD6500" w14:textId="38543593" w:rsidR="008C0272" w:rsidRPr="004E5105"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2018, page 73. 103.</w:t>
      </w:r>
    </w:p>
  </w:footnote>
  <w:footnote w:id="78">
    <w:p w14:paraId="497881E2" w14:textId="6317669F" w:rsidR="008C0272" w:rsidRPr="004D5110"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25, 2018, page 7-8.</w:t>
      </w:r>
    </w:p>
  </w:footnote>
  <w:footnote w:id="79">
    <w:p w14:paraId="38C7D95D" w14:textId="17DBD220" w:rsidR="008C0272" w:rsidRPr="00D62FC4"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2018, page 52-53.</w:t>
      </w:r>
    </w:p>
  </w:footnote>
  <w:footnote w:id="80">
    <w:p w14:paraId="3147FF17" w14:textId="4865ECC0" w:rsidR="008C0272" w:rsidRPr="00D62FC4"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2018, page 40-42.</w:t>
      </w:r>
    </w:p>
  </w:footnote>
  <w:footnote w:id="81">
    <w:p w14:paraId="64AA33DE" w14:textId="3856782E" w:rsidR="008C0272" w:rsidRPr="00D62FC4" w:rsidRDefault="008C0272">
      <w:pPr>
        <w:pStyle w:val="FootnoteText"/>
        <w:rPr>
          <w:lang w:val="en-US"/>
        </w:rPr>
      </w:pPr>
      <w:r>
        <w:rPr>
          <w:rStyle w:val="FootnoteReference"/>
        </w:rPr>
        <w:footnoteRef/>
      </w:r>
      <w:r>
        <w:t xml:space="preserve"> </w:t>
      </w:r>
      <w:r w:rsidRPr="000311AD">
        <w:rPr>
          <w:sz w:val="20"/>
          <w:szCs w:val="20"/>
          <w:lang w:val="en-US"/>
        </w:rPr>
        <w:t>See Crown Trial Brief Volume 1, Tab 1D.</w:t>
      </w:r>
    </w:p>
  </w:footnote>
  <w:footnote w:id="82">
    <w:p w14:paraId="1F9EC6B8" w14:textId="77777777" w:rsidR="008C0272" w:rsidRPr="006618B1" w:rsidRDefault="008C0272" w:rsidP="00A731E1">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29. 30 and November 13 2018, page 156-157.</w:t>
      </w:r>
    </w:p>
  </w:footnote>
  <w:footnote w:id="83">
    <w:p w14:paraId="4B33B285" w14:textId="29A44B9C" w:rsidR="008C0272" w:rsidRPr="006618B1"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29. 30 and November 13 2018, page 159.</w:t>
      </w:r>
    </w:p>
  </w:footnote>
  <w:footnote w:id="84">
    <w:p w14:paraId="5FCE59F7" w14:textId="419F35CF" w:rsidR="008C0272" w:rsidRPr="008F554E" w:rsidRDefault="008C0272">
      <w:pPr>
        <w:pStyle w:val="FootnoteText"/>
        <w:rPr>
          <w:lang w:val="en-US"/>
        </w:rPr>
      </w:pPr>
      <w:r>
        <w:rPr>
          <w:rStyle w:val="FootnoteReference"/>
        </w:rPr>
        <w:footnoteRef/>
      </w:r>
      <w:r>
        <w:rPr>
          <w:lang w:val="en-US"/>
        </w:rP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29. 30 and November 13 2018, page 193.</w:t>
      </w:r>
    </w:p>
  </w:footnote>
  <w:footnote w:id="85">
    <w:p w14:paraId="77710F0C" w14:textId="76AB7C9D" w:rsidR="008C0272" w:rsidRPr="0039364D"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October 29. 30 and November 13 2018, page 214-216. </w:t>
      </w:r>
    </w:p>
  </w:footnote>
  <w:footnote w:id="86">
    <w:p w14:paraId="3B10F64C" w14:textId="705BED73" w:rsidR="008C0272" w:rsidRPr="001462D0" w:rsidRDefault="008C0272">
      <w:pPr>
        <w:pStyle w:val="FootnoteText"/>
        <w:rPr>
          <w:lang w:val="en-US"/>
        </w:rPr>
      </w:pPr>
      <w:r>
        <w:rPr>
          <w:rStyle w:val="FootnoteReference"/>
        </w:rPr>
        <w:footnoteRef/>
      </w:r>
      <w:r>
        <w:t xml:space="preserve"> </w:t>
      </w:r>
      <w:r w:rsidRPr="001462D0">
        <w:rPr>
          <w:sz w:val="20"/>
          <w:szCs w:val="20"/>
          <w:lang w:val="en-US"/>
        </w:rPr>
        <w:t>See exhibit 27.</w:t>
      </w:r>
      <w:r>
        <w:rPr>
          <w:lang w:val="en-US"/>
        </w:rPr>
        <w:t xml:space="preserve"> </w:t>
      </w:r>
    </w:p>
  </w:footnote>
  <w:footnote w:id="87">
    <w:p w14:paraId="1E7AF205" w14:textId="54108C49" w:rsidR="008C0272" w:rsidRPr="00A55509"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29. 30 and November 13 2018, page 108.</w:t>
      </w:r>
    </w:p>
  </w:footnote>
  <w:footnote w:id="88">
    <w:p w14:paraId="5877CACE" w14:textId="061053D3" w:rsidR="008C0272" w:rsidRPr="0039364D"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29. 30 and November 13 2018, page 216.</w:t>
      </w:r>
    </w:p>
  </w:footnote>
  <w:footnote w:id="89">
    <w:p w14:paraId="1915DC6B" w14:textId="77777777" w:rsidR="008C0272" w:rsidRPr="001B347D" w:rsidRDefault="008C0272" w:rsidP="00BB4BEB">
      <w:pPr>
        <w:pStyle w:val="FootnoteText"/>
        <w:rPr>
          <w:lang w:val="en-US"/>
        </w:rPr>
      </w:pPr>
      <w:r>
        <w:rPr>
          <w:rStyle w:val="FootnoteReference"/>
        </w:rPr>
        <w:footnoteRef/>
      </w:r>
      <w:r>
        <w:t xml:space="preserve"> </w:t>
      </w:r>
      <w:r w:rsidRPr="001B347D">
        <w:rPr>
          <w:sz w:val="20"/>
          <w:szCs w:val="20"/>
          <w:lang w:val="en-US"/>
        </w:rPr>
        <w:t>See Crown Trial Brief 6, Tab 2.</w:t>
      </w:r>
      <w:r>
        <w:rPr>
          <w:lang w:val="en-US"/>
        </w:rPr>
        <w:t xml:space="preserve"> </w:t>
      </w:r>
    </w:p>
  </w:footnote>
  <w:footnote w:id="90">
    <w:p w14:paraId="76B5A50C" w14:textId="77777777" w:rsidR="008C0272" w:rsidRPr="001B347D" w:rsidRDefault="008C0272" w:rsidP="00BB4BEB">
      <w:pPr>
        <w:pStyle w:val="FootnoteText"/>
        <w:rPr>
          <w:lang w:val="en-US"/>
        </w:rPr>
      </w:pPr>
      <w:r>
        <w:rPr>
          <w:rStyle w:val="FootnoteReference"/>
        </w:rPr>
        <w:footnoteRef/>
      </w:r>
      <w:r>
        <w:t xml:space="preserve"> </w:t>
      </w:r>
      <w:r w:rsidRPr="001B347D">
        <w:rPr>
          <w:sz w:val="20"/>
          <w:szCs w:val="20"/>
          <w:lang w:val="en-US"/>
        </w:rPr>
        <w:t>See Crown Tria</w:t>
      </w:r>
      <w:r>
        <w:rPr>
          <w:sz w:val="20"/>
          <w:szCs w:val="20"/>
          <w:lang w:val="en-US"/>
        </w:rPr>
        <w:t>l Brief 6, Tab 3</w:t>
      </w:r>
      <w:r w:rsidRPr="001B347D">
        <w:rPr>
          <w:sz w:val="20"/>
          <w:szCs w:val="20"/>
          <w:lang w:val="en-US"/>
        </w:rPr>
        <w:t>.</w:t>
      </w:r>
    </w:p>
  </w:footnote>
  <w:footnote w:id="91">
    <w:p w14:paraId="3189B5B2" w14:textId="77777777" w:rsidR="008C0272" w:rsidRPr="00850AD8" w:rsidRDefault="008C0272" w:rsidP="00BB4BEB">
      <w:pPr>
        <w:pStyle w:val="FootnoteText"/>
        <w:rPr>
          <w:lang w:val="en-US"/>
        </w:rPr>
      </w:pPr>
      <w:r>
        <w:rPr>
          <w:rStyle w:val="FootnoteReference"/>
        </w:rPr>
        <w:footnoteRef/>
      </w:r>
      <w:r>
        <w:t xml:space="preserve"> </w:t>
      </w:r>
      <w:r w:rsidRPr="001B347D">
        <w:rPr>
          <w:sz w:val="20"/>
          <w:szCs w:val="20"/>
          <w:lang w:val="en-US"/>
        </w:rPr>
        <w:t>See Crown Tria</w:t>
      </w:r>
      <w:r>
        <w:rPr>
          <w:sz w:val="20"/>
          <w:szCs w:val="20"/>
          <w:lang w:val="en-US"/>
        </w:rPr>
        <w:t>l Brief 6, Tab 3</w:t>
      </w:r>
      <w:r w:rsidRPr="001B347D">
        <w:rPr>
          <w:sz w:val="20"/>
          <w:szCs w:val="20"/>
          <w:lang w:val="en-US"/>
        </w:rPr>
        <w:t>.</w:t>
      </w:r>
    </w:p>
  </w:footnote>
  <w:footnote w:id="92">
    <w:p w14:paraId="0B0C3CB8" w14:textId="77777777" w:rsidR="008C0272" w:rsidRPr="00491499" w:rsidRDefault="008C0272" w:rsidP="00BB4BEB">
      <w:pPr>
        <w:pStyle w:val="FootnoteText"/>
        <w:rPr>
          <w:i/>
          <w:lang w:val="en-US"/>
        </w:rPr>
      </w:pPr>
      <w:r>
        <w:rPr>
          <w:rStyle w:val="FootnoteReference"/>
        </w:rPr>
        <w:footnoteRef/>
      </w:r>
      <w:r>
        <w:t xml:space="preserve"> </w:t>
      </w:r>
      <w:r w:rsidRPr="00491499">
        <w:rPr>
          <w:i/>
          <w:sz w:val="20"/>
          <w:szCs w:val="20"/>
          <w:lang w:val="en-US"/>
        </w:rPr>
        <w:t>Ibid.</w:t>
      </w:r>
      <w:r>
        <w:rPr>
          <w:i/>
          <w:lang w:val="en-US"/>
        </w:rPr>
        <w:t xml:space="preserve"> </w:t>
      </w:r>
    </w:p>
  </w:footnote>
  <w:footnote w:id="93">
    <w:p w14:paraId="7B83947D" w14:textId="77CDA1F0" w:rsidR="008C0272" w:rsidRPr="004C7B25" w:rsidRDefault="008C0272">
      <w:pPr>
        <w:pStyle w:val="FootnoteText"/>
        <w:rPr>
          <w:lang w:val="en-US"/>
        </w:rPr>
      </w:pPr>
      <w:r>
        <w:rPr>
          <w:rStyle w:val="FootnoteReference"/>
        </w:rPr>
        <w:footnoteRef/>
      </w:r>
      <w:r>
        <w:t xml:space="preserve"> </w:t>
      </w:r>
      <w:r w:rsidRPr="000311AD">
        <w:rPr>
          <w:sz w:val="20"/>
          <w:szCs w:val="20"/>
        </w:rPr>
        <w:t>Notes of Defence Counsel at Trial</w:t>
      </w:r>
      <w:r>
        <w:t xml:space="preserve"> </w:t>
      </w:r>
      <w:r w:rsidRPr="0034487F">
        <w:rPr>
          <w:rFonts w:ascii="Times" w:hAnsi="Times" w:cs="Times"/>
          <w:sz w:val="20"/>
          <w:szCs w:val="20"/>
        </w:rPr>
        <w:t>before the Honourable Ju</w:t>
      </w:r>
      <w:r>
        <w:rPr>
          <w:rFonts w:ascii="Times" w:hAnsi="Times" w:cs="Times"/>
          <w:sz w:val="20"/>
          <w:szCs w:val="20"/>
        </w:rPr>
        <w:t>stice J. Ferguson on November 8, 2018 (Examination of Roch Dupont).</w:t>
      </w:r>
    </w:p>
  </w:footnote>
  <w:footnote w:id="94">
    <w:p w14:paraId="6F820428" w14:textId="77777777" w:rsidR="008C0272" w:rsidRPr="00F575BB" w:rsidRDefault="008C0272" w:rsidP="00BB4BEB">
      <w:pPr>
        <w:pStyle w:val="FootnoteText"/>
        <w:rPr>
          <w:lang w:val="en-US"/>
        </w:rPr>
      </w:pPr>
      <w:r>
        <w:rPr>
          <w:rStyle w:val="FootnoteReference"/>
        </w:rPr>
        <w:footnoteRef/>
      </w:r>
      <w:r>
        <w:t xml:space="preserve"> </w:t>
      </w:r>
      <w:r w:rsidRPr="001B347D">
        <w:rPr>
          <w:sz w:val="20"/>
          <w:szCs w:val="20"/>
          <w:lang w:val="en-US"/>
        </w:rPr>
        <w:t>See Crown Tria</w:t>
      </w:r>
      <w:r>
        <w:rPr>
          <w:sz w:val="20"/>
          <w:szCs w:val="20"/>
          <w:lang w:val="en-US"/>
        </w:rPr>
        <w:t>l Brief 6, Tab 4</w:t>
      </w:r>
      <w:r w:rsidRPr="001B347D">
        <w:rPr>
          <w:sz w:val="20"/>
          <w:szCs w:val="20"/>
          <w:lang w:val="en-US"/>
        </w:rPr>
        <w:t>.</w:t>
      </w:r>
    </w:p>
  </w:footnote>
  <w:footnote w:id="95">
    <w:p w14:paraId="69E65DE7" w14:textId="77777777" w:rsidR="008C0272" w:rsidRPr="00A872FE" w:rsidRDefault="008C0272" w:rsidP="00BB4BEB">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page 106.</w:t>
      </w:r>
    </w:p>
  </w:footnote>
  <w:footnote w:id="96">
    <w:p w14:paraId="45AD4BFF" w14:textId="77777777" w:rsidR="008C0272" w:rsidRPr="005039CD" w:rsidRDefault="008C0272" w:rsidP="00BB4BEB">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page 110.</w:t>
      </w:r>
    </w:p>
  </w:footnote>
  <w:footnote w:id="97">
    <w:p w14:paraId="244950C0" w14:textId="77777777" w:rsidR="008C0272" w:rsidRPr="005039CD" w:rsidRDefault="008C0272" w:rsidP="00BB4BEB">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page 109.</w:t>
      </w:r>
    </w:p>
  </w:footnote>
  <w:footnote w:id="98">
    <w:p w14:paraId="2BABAACC" w14:textId="77777777" w:rsidR="008C0272" w:rsidRPr="005039CD" w:rsidRDefault="008C0272" w:rsidP="00BB4BEB">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23, page 110.</w:t>
      </w:r>
    </w:p>
  </w:footnote>
  <w:footnote w:id="99">
    <w:p w14:paraId="73C40DCD" w14:textId="77777777" w:rsidR="008C0272" w:rsidRPr="00AD5966" w:rsidRDefault="008C0272" w:rsidP="00BB4BEB">
      <w:pPr>
        <w:pStyle w:val="FootnoteText"/>
        <w:rPr>
          <w:lang w:val="en-US"/>
        </w:rPr>
      </w:pPr>
      <w:r>
        <w:rPr>
          <w:rStyle w:val="FootnoteReference"/>
        </w:rPr>
        <w:footnoteRef/>
      </w:r>
      <w:r>
        <w:t xml:space="preserve"> </w:t>
      </w:r>
      <w:r>
        <w:rPr>
          <w:rFonts w:ascii="Times" w:hAnsi="Times" w:cs="Times"/>
          <w:sz w:val="20"/>
          <w:szCs w:val="20"/>
        </w:rPr>
        <w:t>See Crown Trial Brief Volume 4, Tab 11.</w:t>
      </w:r>
    </w:p>
  </w:footnote>
  <w:footnote w:id="100">
    <w:p w14:paraId="43526C6E" w14:textId="77777777" w:rsidR="008C0272" w:rsidRPr="00AD5966" w:rsidRDefault="008C0272" w:rsidP="00BB4BEB">
      <w:pPr>
        <w:pStyle w:val="FootnoteText"/>
        <w:rPr>
          <w:lang w:val="en-US"/>
        </w:rPr>
      </w:pPr>
      <w:r>
        <w:rPr>
          <w:rStyle w:val="FootnoteReference"/>
        </w:rPr>
        <w:footnoteRef/>
      </w:r>
      <w:r>
        <w:t xml:space="preserve"> </w:t>
      </w:r>
      <w:r>
        <w:rPr>
          <w:rFonts w:ascii="Times" w:hAnsi="Times" w:cs="Times"/>
          <w:sz w:val="20"/>
          <w:szCs w:val="20"/>
        </w:rPr>
        <w:t xml:space="preserve">See Crown Trial Brief Volume 4, Tab 9. </w:t>
      </w:r>
    </w:p>
  </w:footnote>
  <w:footnote w:id="101">
    <w:p w14:paraId="4C1694A6" w14:textId="77777777" w:rsidR="008C0272" w:rsidRPr="00EC6D88" w:rsidRDefault="008C0272" w:rsidP="00BB4BEB">
      <w:pPr>
        <w:pStyle w:val="FootnoteText"/>
        <w:rPr>
          <w:lang w:val="en-US"/>
        </w:rPr>
      </w:pPr>
      <w:r>
        <w:rPr>
          <w:rStyle w:val="FootnoteReference"/>
        </w:rPr>
        <w:footnoteRef/>
      </w:r>
      <w:r>
        <w:t xml:space="preserve"> </w:t>
      </w:r>
      <w:r w:rsidRPr="00EC6D88">
        <w:rPr>
          <w:sz w:val="20"/>
          <w:szCs w:val="20"/>
          <w:lang w:val="en-US"/>
        </w:rPr>
        <w:t>See Exhibit 17.</w:t>
      </w:r>
      <w:r>
        <w:rPr>
          <w:lang w:val="en-US"/>
        </w:rPr>
        <w:t xml:space="preserve"> </w:t>
      </w:r>
    </w:p>
  </w:footnote>
  <w:footnote w:id="102">
    <w:p w14:paraId="1951723C" w14:textId="77777777" w:rsidR="008C0272" w:rsidRPr="005039CD" w:rsidRDefault="008C0272" w:rsidP="00BB4BEB">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October 25, page 2.</w:t>
      </w:r>
    </w:p>
  </w:footnote>
  <w:footnote w:id="103">
    <w:p w14:paraId="2013FE5F" w14:textId="2FFAE96F" w:rsidR="008C0272" w:rsidRPr="004C7B25" w:rsidRDefault="008C0272">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114-115.</w:t>
      </w:r>
    </w:p>
  </w:footnote>
  <w:footnote w:id="104">
    <w:p w14:paraId="649817AD" w14:textId="77777777" w:rsidR="008C0272" w:rsidRPr="0030618F" w:rsidRDefault="008C0272" w:rsidP="00BB4BEB">
      <w:pPr>
        <w:pStyle w:val="FootnoteText"/>
        <w:rPr>
          <w:lang w:val="en-US"/>
        </w:rPr>
      </w:pPr>
      <w:r>
        <w:rPr>
          <w:rStyle w:val="FootnoteReference"/>
        </w:rPr>
        <w:footnoteRef/>
      </w:r>
      <w:r>
        <w:t xml:space="preserve"> </w:t>
      </w:r>
      <w:r w:rsidRPr="0030618F">
        <w:rPr>
          <w:sz w:val="20"/>
          <w:szCs w:val="20"/>
        </w:rPr>
        <w:t>See Crown Trial Brief Volume 4, Tab 2, page 4.</w:t>
      </w:r>
      <w:r>
        <w:t xml:space="preserve"> </w:t>
      </w:r>
    </w:p>
  </w:footnote>
  <w:footnote w:id="105">
    <w:p w14:paraId="39D1244F" w14:textId="77777777" w:rsidR="008C0272" w:rsidRPr="002E5CFB" w:rsidRDefault="008C0272" w:rsidP="00BB4BEB">
      <w:pPr>
        <w:pStyle w:val="FootnoteText"/>
        <w:rPr>
          <w:lang w:val="en-US"/>
        </w:rPr>
      </w:pPr>
      <w:r>
        <w:rPr>
          <w:rStyle w:val="FootnoteReference"/>
        </w:rPr>
        <w:footnoteRef/>
      </w:r>
      <w:r>
        <w:t xml:space="preserve"> </w:t>
      </w:r>
      <w:r w:rsidRPr="002E5CFB">
        <w:rPr>
          <w:sz w:val="20"/>
          <w:szCs w:val="20"/>
          <w:lang w:val="en-US"/>
        </w:rPr>
        <w:t>See Crown Trial Brief Volume 4, Tab 14, page 2.</w:t>
      </w:r>
      <w:r>
        <w:rPr>
          <w:lang w:val="en-US"/>
        </w:rPr>
        <w:t xml:space="preserve"> </w:t>
      </w:r>
    </w:p>
  </w:footnote>
  <w:footnote w:id="106">
    <w:p w14:paraId="276ACA16" w14:textId="77777777" w:rsidR="008C0272" w:rsidRPr="00AD5966" w:rsidRDefault="008C0272" w:rsidP="00BB4BEB">
      <w:pPr>
        <w:pStyle w:val="FootnoteText"/>
        <w:rPr>
          <w:lang w:val="en-US"/>
        </w:rPr>
      </w:pPr>
      <w:r>
        <w:rPr>
          <w:rStyle w:val="FootnoteReference"/>
        </w:rPr>
        <w:footnoteRef/>
      </w:r>
      <w:r>
        <w:t xml:space="preserve"> </w:t>
      </w:r>
      <w:r w:rsidRPr="002E5CFB">
        <w:rPr>
          <w:sz w:val="20"/>
          <w:szCs w:val="20"/>
          <w:lang w:val="en-US"/>
        </w:rPr>
        <w:t>See Crown Trial B</w:t>
      </w:r>
      <w:r>
        <w:rPr>
          <w:sz w:val="20"/>
          <w:szCs w:val="20"/>
          <w:lang w:val="en-US"/>
        </w:rPr>
        <w:t xml:space="preserve">rief Volume 4, Tab 16 and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October 25, page 25-28. </w:t>
      </w:r>
    </w:p>
  </w:footnote>
  <w:footnote w:id="107">
    <w:p w14:paraId="46D76A3C" w14:textId="77777777" w:rsidR="008C0272" w:rsidRPr="00DC767E" w:rsidRDefault="008C0272" w:rsidP="00BB4BEB">
      <w:pPr>
        <w:pStyle w:val="FootnoteText"/>
        <w:rPr>
          <w:lang w:val="en-US"/>
        </w:rPr>
      </w:pPr>
      <w:r>
        <w:rPr>
          <w:rStyle w:val="FootnoteReference"/>
        </w:rPr>
        <w:footnoteRef/>
      </w:r>
      <w:r>
        <w:t xml:space="preserve"> </w:t>
      </w:r>
      <w:r w:rsidRPr="001B347D">
        <w:rPr>
          <w:sz w:val="20"/>
          <w:szCs w:val="20"/>
          <w:lang w:val="en-US"/>
        </w:rPr>
        <w:t>See Crown Tria</w:t>
      </w:r>
      <w:r>
        <w:rPr>
          <w:sz w:val="20"/>
          <w:szCs w:val="20"/>
          <w:lang w:val="en-US"/>
        </w:rPr>
        <w:t xml:space="preserve">l Brief 6, Tab 4, page 1. </w:t>
      </w:r>
    </w:p>
  </w:footnote>
  <w:footnote w:id="108">
    <w:p w14:paraId="562514DF" w14:textId="77777777" w:rsidR="008C0272" w:rsidRPr="00CA75F0"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November 20, page 2-4. </w:t>
      </w:r>
    </w:p>
  </w:footnote>
  <w:footnote w:id="109">
    <w:p w14:paraId="679E9F8D"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10.</w:t>
      </w:r>
    </w:p>
  </w:footnote>
  <w:footnote w:id="110">
    <w:p w14:paraId="4B5BDDAE"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11.</w:t>
      </w:r>
    </w:p>
  </w:footnote>
  <w:footnote w:id="111">
    <w:p w14:paraId="1E5446E9"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31.</w:t>
      </w:r>
    </w:p>
  </w:footnote>
  <w:footnote w:id="112">
    <w:p w14:paraId="2231254C"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19.</w:t>
      </w:r>
    </w:p>
  </w:footnote>
  <w:footnote w:id="113">
    <w:p w14:paraId="5270A77B" w14:textId="77777777" w:rsidR="008C0272" w:rsidRPr="00B10770" w:rsidRDefault="008C0272" w:rsidP="00455E9A">
      <w:pPr>
        <w:pStyle w:val="FootnoteText"/>
        <w:rPr>
          <w:lang w:val="en-US"/>
        </w:rPr>
      </w:pPr>
      <w:r>
        <w:rPr>
          <w:rStyle w:val="FootnoteReference"/>
        </w:rPr>
        <w:footnoteRef/>
      </w:r>
      <w:r>
        <w:t xml:space="preserve"> </w:t>
      </w:r>
      <w:r w:rsidRPr="00B10770">
        <w:rPr>
          <w:sz w:val="20"/>
          <w:szCs w:val="20"/>
          <w:lang w:val="en-US"/>
        </w:rPr>
        <w:t>Exhibit here</w:t>
      </w:r>
      <w:r>
        <w:rPr>
          <w:sz w:val="20"/>
          <w:szCs w:val="20"/>
          <w:lang w:val="en-US"/>
        </w:rPr>
        <w:t xml:space="preserve"> and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November 20, page 34. </w:t>
      </w:r>
    </w:p>
  </w:footnote>
  <w:footnote w:id="114">
    <w:p w14:paraId="46D5EF7A"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35.</w:t>
      </w:r>
    </w:p>
  </w:footnote>
  <w:footnote w:id="115">
    <w:p w14:paraId="1850F456"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36.</w:t>
      </w:r>
    </w:p>
  </w:footnote>
  <w:footnote w:id="116">
    <w:p w14:paraId="74BA58FC" w14:textId="77777777" w:rsidR="008C0272" w:rsidRPr="00481DBC"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36.</w:t>
      </w:r>
    </w:p>
  </w:footnote>
  <w:footnote w:id="117">
    <w:p w14:paraId="2BF4C245"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30.</w:t>
      </w:r>
    </w:p>
  </w:footnote>
  <w:footnote w:id="118">
    <w:p w14:paraId="67CD9B51"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33.</w:t>
      </w:r>
    </w:p>
  </w:footnote>
  <w:footnote w:id="119">
    <w:p w14:paraId="55CC72DA"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44.</w:t>
      </w:r>
    </w:p>
  </w:footnote>
  <w:footnote w:id="120">
    <w:p w14:paraId="1F5EFBC6" w14:textId="77777777" w:rsidR="008C0272" w:rsidRPr="006B0B90"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23, page 11-12.</w:t>
      </w:r>
    </w:p>
  </w:footnote>
  <w:footnote w:id="121">
    <w:p w14:paraId="19EDA7F5"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41.</w:t>
      </w:r>
    </w:p>
  </w:footnote>
  <w:footnote w:id="122">
    <w:p w14:paraId="4D51315A"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49.</w:t>
      </w:r>
    </w:p>
  </w:footnote>
  <w:footnote w:id="123">
    <w:p w14:paraId="3EDF313F" w14:textId="77777777" w:rsidR="008C0272" w:rsidRPr="00D3566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48.</w:t>
      </w:r>
    </w:p>
  </w:footnote>
  <w:footnote w:id="124">
    <w:p w14:paraId="137118C7"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49.</w:t>
      </w:r>
    </w:p>
  </w:footnote>
  <w:footnote w:id="125">
    <w:p w14:paraId="74D04A6E" w14:textId="77777777" w:rsidR="008C0272" w:rsidRPr="00B613AC"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23, page 40.</w:t>
      </w:r>
    </w:p>
  </w:footnote>
  <w:footnote w:id="126">
    <w:p w14:paraId="75C44A61"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page12-13.</w:t>
      </w:r>
    </w:p>
  </w:footnote>
  <w:footnote w:id="127">
    <w:p w14:paraId="06666527"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14.</w:t>
      </w:r>
    </w:p>
  </w:footnote>
  <w:footnote w:id="128">
    <w:p w14:paraId="21432AAA" w14:textId="77777777" w:rsidR="008C0272" w:rsidRPr="00B45293"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23, page 9.</w:t>
      </w:r>
    </w:p>
  </w:footnote>
  <w:footnote w:id="129">
    <w:p w14:paraId="28C876A7"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17.</w:t>
      </w:r>
    </w:p>
  </w:footnote>
  <w:footnote w:id="130">
    <w:p w14:paraId="2D7CB5AB" w14:textId="77777777" w:rsidR="008C0272" w:rsidRPr="00B45293"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23, page 21.</w:t>
      </w:r>
    </w:p>
  </w:footnote>
  <w:footnote w:id="131">
    <w:p w14:paraId="24522229"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25.</w:t>
      </w:r>
    </w:p>
  </w:footnote>
  <w:footnote w:id="132">
    <w:p w14:paraId="7DF54BD8"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9.</w:t>
      </w:r>
    </w:p>
  </w:footnote>
  <w:footnote w:id="133">
    <w:p w14:paraId="466B8C36" w14:textId="77777777" w:rsidR="008C0272" w:rsidRPr="00E17F13"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23, page 28.</w:t>
      </w:r>
    </w:p>
  </w:footnote>
  <w:footnote w:id="134">
    <w:p w14:paraId="26EEDF71"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53.</w:t>
      </w:r>
    </w:p>
  </w:footnote>
  <w:footnote w:id="135">
    <w:p w14:paraId="34FEB423"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54-55.</w:t>
      </w:r>
    </w:p>
  </w:footnote>
  <w:footnote w:id="136">
    <w:p w14:paraId="2A51847F" w14:textId="77777777" w:rsidR="008C0272" w:rsidRPr="00E17F13"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32-33.</w:t>
      </w:r>
    </w:p>
  </w:footnote>
  <w:footnote w:id="137">
    <w:p w14:paraId="1454D78D" w14:textId="77777777" w:rsidR="008C0272" w:rsidRPr="00ED0D3C"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23, page 9.</w:t>
      </w:r>
    </w:p>
  </w:footnote>
  <w:footnote w:id="138">
    <w:p w14:paraId="15DE06C7"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57.</w:t>
      </w:r>
    </w:p>
  </w:footnote>
  <w:footnote w:id="139">
    <w:p w14:paraId="01B6CFDF"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56.</w:t>
      </w:r>
    </w:p>
  </w:footnote>
  <w:footnote w:id="140">
    <w:p w14:paraId="5D514DBD"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58.</w:t>
      </w:r>
    </w:p>
  </w:footnote>
  <w:footnote w:id="141">
    <w:p w14:paraId="1320408E" w14:textId="77777777" w:rsidR="008C0272" w:rsidRPr="00ED0D3C" w:rsidRDefault="008C0272" w:rsidP="00455E9A">
      <w:pPr>
        <w:pStyle w:val="FootnoteText"/>
        <w:rPr>
          <w:lang w:val="en-US"/>
        </w:rPr>
      </w:pPr>
      <w:r>
        <w:rPr>
          <w:rStyle w:val="FootnoteReference"/>
        </w:rPr>
        <w:footnoteRef/>
      </w:r>
      <w:r>
        <w:t xml:space="preserve"> </w:t>
      </w:r>
      <w:r w:rsidRPr="003358E0">
        <w:rPr>
          <w:sz w:val="20"/>
          <w:szCs w:val="20"/>
        </w:rPr>
        <w:t xml:space="preserve">Notes </w:t>
      </w:r>
    </w:p>
  </w:footnote>
  <w:footnote w:id="142">
    <w:p w14:paraId="5759397D"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21-22.</w:t>
      </w:r>
    </w:p>
  </w:footnote>
  <w:footnote w:id="143">
    <w:p w14:paraId="72080051" w14:textId="432571C5" w:rsidR="008C0272" w:rsidRPr="004C7B25" w:rsidRDefault="008C0272">
      <w:pPr>
        <w:pStyle w:val="FootnoteText"/>
        <w:rPr>
          <w:lang w:val="en-US"/>
        </w:rPr>
      </w:pPr>
      <w:r>
        <w:rPr>
          <w:rStyle w:val="FootnoteReference"/>
        </w:rPr>
        <w:footnoteRef/>
      </w:r>
      <w:r>
        <w:t xml:space="preserve"> </w:t>
      </w:r>
      <w:r w:rsidRPr="004C7B25">
        <w:rPr>
          <w:sz w:val="20"/>
          <w:szCs w:val="20"/>
          <w:lang w:val="en-US"/>
        </w:rPr>
        <w:t>See Exhibit J.</w:t>
      </w:r>
      <w:r>
        <w:rPr>
          <w:lang w:val="en-US"/>
        </w:rPr>
        <w:t xml:space="preserve"> </w:t>
      </w:r>
    </w:p>
  </w:footnote>
  <w:footnote w:id="144">
    <w:p w14:paraId="14FF4934"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60.</w:t>
      </w:r>
    </w:p>
  </w:footnote>
  <w:footnote w:id="145">
    <w:p w14:paraId="20A80CBC"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60.</w:t>
      </w:r>
    </w:p>
  </w:footnote>
  <w:footnote w:id="146">
    <w:p w14:paraId="69FD4EA7" w14:textId="77777777" w:rsidR="008C0272" w:rsidRPr="003358E0" w:rsidRDefault="008C0272" w:rsidP="00455E9A">
      <w:pPr>
        <w:pStyle w:val="FootnoteText"/>
        <w:rPr>
          <w:lang w:val="en-US"/>
        </w:rPr>
      </w:pPr>
      <w:r>
        <w:rPr>
          <w:rStyle w:val="FootnoteReference"/>
        </w:rPr>
        <w:footnoteRef/>
      </w:r>
      <w:r>
        <w:t xml:space="preserve"> </w:t>
      </w:r>
      <w:r w:rsidRPr="003358E0">
        <w:rPr>
          <w:sz w:val="20"/>
          <w:szCs w:val="20"/>
          <w:lang w:val="en-US"/>
        </w:rPr>
        <w:t>See letter exhibit K.</w:t>
      </w:r>
      <w:r>
        <w:rPr>
          <w:lang w:val="en-US"/>
        </w:rPr>
        <w:t xml:space="preserve"> </w:t>
      </w:r>
    </w:p>
  </w:footnote>
  <w:footnote w:id="147">
    <w:p w14:paraId="4779463E" w14:textId="76245532" w:rsidR="008C0272" w:rsidRPr="004C7B25" w:rsidRDefault="008C0272">
      <w:pPr>
        <w:pStyle w:val="FootnoteText"/>
        <w:rPr>
          <w:lang w:val="en-US"/>
        </w:rPr>
      </w:pPr>
      <w:r>
        <w:rPr>
          <w:rStyle w:val="FootnoteReference"/>
        </w:rPr>
        <w:footnoteRef/>
      </w:r>
      <w:r>
        <w:t xml:space="preserve"> </w:t>
      </w:r>
      <w:r w:rsidRPr="004C7B25">
        <w:rPr>
          <w:sz w:val="20"/>
          <w:szCs w:val="20"/>
          <w:lang w:val="en-US"/>
        </w:rPr>
        <w:t>See Exhibit 61.</w:t>
      </w:r>
    </w:p>
  </w:footnote>
  <w:footnote w:id="148">
    <w:p w14:paraId="35BF4C03" w14:textId="77777777" w:rsidR="008C0272" w:rsidRPr="00BA0A79"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20, page 63.</w:t>
      </w:r>
    </w:p>
  </w:footnote>
  <w:footnote w:id="149">
    <w:p w14:paraId="53F92436" w14:textId="77777777" w:rsidR="008C0272" w:rsidRDefault="008C0272" w:rsidP="00455E9A">
      <w:pPr>
        <w:pStyle w:val="FootnoteText"/>
      </w:pPr>
      <w:r>
        <w:rPr>
          <w:rStyle w:val="FootnoteReference"/>
        </w:rPr>
        <w:footnoteRef/>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6-7.</w:t>
      </w:r>
    </w:p>
  </w:footnote>
  <w:footnote w:id="150">
    <w:p w14:paraId="17EF022A" w14:textId="01ECFE1B"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November 26, page 7-8. </w:t>
      </w:r>
    </w:p>
  </w:footnote>
  <w:footnote w:id="151">
    <w:p w14:paraId="4732B0DE" w14:textId="78F58A6E"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3-4.</w:t>
      </w:r>
    </w:p>
  </w:footnote>
  <w:footnote w:id="152">
    <w:p w14:paraId="7EB8038B" w14:textId="14F7BECD"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9-10.</w:t>
      </w:r>
    </w:p>
  </w:footnote>
  <w:footnote w:id="153">
    <w:p w14:paraId="746CF5F6" w14:textId="1DFE4ABB"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10-13.</w:t>
      </w:r>
    </w:p>
  </w:footnote>
  <w:footnote w:id="154">
    <w:p w14:paraId="1324D1FC" w14:textId="53A7CA8D"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14.</w:t>
      </w:r>
    </w:p>
  </w:footnote>
  <w:footnote w:id="155">
    <w:p w14:paraId="06986E84" w14:textId="1C0FCACC"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15.</w:t>
      </w:r>
    </w:p>
  </w:footnote>
  <w:footnote w:id="156">
    <w:p w14:paraId="20D479C0" w14:textId="3EC4333A"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18-19.</w:t>
      </w:r>
    </w:p>
  </w:footnote>
  <w:footnote w:id="157">
    <w:p w14:paraId="124F6C48" w14:textId="722B11CB"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19, 31.</w:t>
      </w:r>
    </w:p>
  </w:footnote>
  <w:footnote w:id="158">
    <w:p w14:paraId="0BF9BC1C" w14:textId="58221586"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38 and see Exhibit 51.</w:t>
      </w:r>
    </w:p>
  </w:footnote>
  <w:footnote w:id="159">
    <w:p w14:paraId="06B22942" w14:textId="7088BCB6"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40.</w:t>
      </w:r>
    </w:p>
  </w:footnote>
  <w:footnote w:id="160">
    <w:p w14:paraId="7BE58D75" w14:textId="687FE726"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75.</w:t>
      </w:r>
    </w:p>
  </w:footnote>
  <w:footnote w:id="161">
    <w:p w14:paraId="3070C275" w14:textId="48AF2A6E"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42.</w:t>
      </w:r>
    </w:p>
  </w:footnote>
  <w:footnote w:id="162">
    <w:p w14:paraId="70E0CD34" w14:textId="07D76B66"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26.</w:t>
      </w:r>
    </w:p>
  </w:footnote>
  <w:footnote w:id="163">
    <w:p w14:paraId="7B2D47C3" w14:textId="42F95584"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19.</w:t>
      </w:r>
    </w:p>
  </w:footnote>
  <w:footnote w:id="164">
    <w:p w14:paraId="1326F80F" w14:textId="190C7E2D"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43-44.</w:t>
      </w:r>
    </w:p>
  </w:footnote>
  <w:footnote w:id="165">
    <w:p w14:paraId="5907006F" w14:textId="2AB3BC22"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44.</w:t>
      </w:r>
    </w:p>
  </w:footnote>
  <w:footnote w:id="166">
    <w:p w14:paraId="7CA889DF" w14:textId="535EB465"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45.</w:t>
      </w:r>
    </w:p>
  </w:footnote>
  <w:footnote w:id="167">
    <w:p w14:paraId="68BE3143" w14:textId="1FA00806"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28.</w:t>
      </w:r>
    </w:p>
  </w:footnote>
  <w:footnote w:id="168">
    <w:p w14:paraId="6374BDEA" w14:textId="77777777" w:rsidR="008C0272" w:rsidRDefault="008C0272" w:rsidP="00455E9A">
      <w:pPr>
        <w:pStyle w:val="FootnoteText"/>
      </w:pPr>
      <w:r>
        <w:rPr>
          <w:rStyle w:val="FootnoteReference"/>
        </w:rPr>
        <w:footnoteRef/>
      </w:r>
      <w:r>
        <w:t xml:space="preserve"> </w:t>
      </w:r>
      <w:r w:rsidRPr="00455E9A">
        <w:rPr>
          <w:sz w:val="20"/>
          <w:szCs w:val="20"/>
        </w:rPr>
        <w:t>See Exhibits 52, 53, 54</w:t>
      </w:r>
    </w:p>
  </w:footnote>
  <w:footnote w:id="169">
    <w:p w14:paraId="10A6AD67" w14:textId="7EBC234E"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49, 55.</w:t>
      </w:r>
    </w:p>
  </w:footnote>
  <w:footnote w:id="170">
    <w:p w14:paraId="6556F167" w14:textId="359E7417"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2-3.</w:t>
      </w:r>
    </w:p>
  </w:footnote>
  <w:footnote w:id="171">
    <w:p w14:paraId="5377E3F8" w14:textId="31444708"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90-91.</w:t>
      </w:r>
    </w:p>
  </w:footnote>
  <w:footnote w:id="172">
    <w:p w14:paraId="39717BFC" w14:textId="261356E3"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91.</w:t>
      </w:r>
    </w:p>
  </w:footnote>
  <w:footnote w:id="173">
    <w:p w14:paraId="51AE32AF" w14:textId="0A238CC3"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26 page 54.</w:t>
      </w:r>
    </w:p>
  </w:footnote>
  <w:footnote w:id="174">
    <w:p w14:paraId="22DB4FFF" w14:textId="4EAF6090" w:rsidR="008C0272" w:rsidRDefault="008C0272" w:rsidP="00455E9A">
      <w:pPr>
        <w:pStyle w:val="FootnoteText"/>
      </w:pPr>
      <w:r>
        <w:rPr>
          <w:rStyle w:val="FootnoteReference"/>
        </w:rPr>
        <w:footnoteRef/>
      </w:r>
      <w:r>
        <w:t xml:space="preserve"> </w:t>
      </w:r>
      <w:r w:rsidRPr="00455E9A">
        <w:rPr>
          <w:sz w:val="20"/>
          <w:szCs w:val="20"/>
        </w:rPr>
        <w:t>See Crown Trial Brief Volume 7, Tab 6</w:t>
      </w:r>
      <w:r>
        <w:rPr>
          <w:sz w:val="20"/>
          <w:szCs w:val="20"/>
        </w:rPr>
        <w:t>.</w:t>
      </w:r>
    </w:p>
  </w:footnote>
  <w:footnote w:id="175">
    <w:p w14:paraId="5298BD1B" w14:textId="7358ACE6"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2-3.</w:t>
      </w:r>
    </w:p>
  </w:footnote>
  <w:footnote w:id="176">
    <w:p w14:paraId="489B9BFC" w14:textId="3E5D665F"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7.</w:t>
      </w:r>
    </w:p>
  </w:footnote>
  <w:footnote w:id="177">
    <w:p w14:paraId="14BBF0F6" w14:textId="469C3EF1"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8.</w:t>
      </w:r>
    </w:p>
  </w:footnote>
  <w:footnote w:id="178">
    <w:p w14:paraId="0917BBC0" w14:textId="27F91082"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8.</w:t>
      </w:r>
    </w:p>
  </w:footnote>
  <w:footnote w:id="179">
    <w:p w14:paraId="6E8A78EF" w14:textId="66656D98"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8-9.</w:t>
      </w:r>
    </w:p>
  </w:footnote>
  <w:footnote w:id="180">
    <w:p w14:paraId="514E4DE7" w14:textId="7CBB6113"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16-17.</w:t>
      </w:r>
    </w:p>
  </w:footnote>
  <w:footnote w:id="181">
    <w:p w14:paraId="440F721B" w14:textId="40FA5CC2"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14-15.</w:t>
      </w:r>
    </w:p>
  </w:footnote>
  <w:footnote w:id="182">
    <w:p w14:paraId="1F9951D3" w14:textId="5B1B6B5B"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46-47.</w:t>
      </w:r>
    </w:p>
  </w:footnote>
  <w:footnote w:id="183">
    <w:p w14:paraId="57E4C13A" w14:textId="195456BF"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48.</w:t>
      </w:r>
    </w:p>
  </w:footnote>
  <w:footnote w:id="184">
    <w:p w14:paraId="7DD5A309" w14:textId="0E19E56A"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48-51.</w:t>
      </w:r>
    </w:p>
  </w:footnote>
  <w:footnote w:id="185">
    <w:p w14:paraId="07DC8FBA" w14:textId="595868AD"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52.</w:t>
      </w:r>
    </w:p>
  </w:footnote>
  <w:footnote w:id="186">
    <w:p w14:paraId="33828500" w14:textId="66F86728"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57.</w:t>
      </w:r>
    </w:p>
  </w:footnote>
  <w:footnote w:id="187">
    <w:p w14:paraId="31350DD8" w14:textId="46E113E7"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35.</w:t>
      </w:r>
    </w:p>
  </w:footnote>
  <w:footnote w:id="188">
    <w:p w14:paraId="5B60DDD3" w14:textId="0E361535"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121.</w:t>
      </w:r>
    </w:p>
  </w:footnote>
  <w:footnote w:id="189">
    <w:p w14:paraId="2E2AD6FF" w14:textId="23258153"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131.</w:t>
      </w:r>
    </w:p>
  </w:footnote>
  <w:footnote w:id="190">
    <w:p w14:paraId="3C86CB54" w14:textId="1C227249"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37-38.</w:t>
      </w:r>
    </w:p>
  </w:footnote>
  <w:footnote w:id="191">
    <w:p w14:paraId="1A33356D" w14:textId="35EE042D" w:rsidR="008C0272" w:rsidRDefault="008C0272" w:rsidP="00455E9A">
      <w:pPr>
        <w:pStyle w:val="FootnoteText"/>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63-64.</w:t>
      </w:r>
    </w:p>
  </w:footnote>
  <w:footnote w:id="192">
    <w:p w14:paraId="39955D41" w14:textId="6EE0A517" w:rsidR="008C0272" w:rsidRPr="00D536F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64-65.</w:t>
      </w:r>
    </w:p>
  </w:footnote>
  <w:footnote w:id="193">
    <w:p w14:paraId="32276B78" w14:textId="6915556E" w:rsidR="008C0272" w:rsidRPr="00D536F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67.</w:t>
      </w:r>
    </w:p>
  </w:footnote>
  <w:footnote w:id="194">
    <w:p w14:paraId="2D52A0CE" w14:textId="5585E026" w:rsidR="008C0272" w:rsidRPr="00D536F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100.</w:t>
      </w:r>
    </w:p>
  </w:footnote>
  <w:footnote w:id="195">
    <w:p w14:paraId="55EFB9E1" w14:textId="0B2E4047" w:rsidR="008C0272" w:rsidRPr="00D536F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98.</w:t>
      </w:r>
    </w:p>
  </w:footnote>
  <w:footnote w:id="196">
    <w:p w14:paraId="68BACBAC" w14:textId="7A449DF5" w:rsidR="008C0272" w:rsidRPr="00D536F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99 and see Exhibit 40</w:t>
      </w:r>
    </w:p>
  </w:footnote>
  <w:footnote w:id="197">
    <w:p w14:paraId="612464A4" w14:textId="4E374D2B" w:rsidR="008C0272" w:rsidRPr="00610BC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109.</w:t>
      </w:r>
    </w:p>
  </w:footnote>
  <w:footnote w:id="198">
    <w:p w14:paraId="4C35DBA4" w14:textId="5D150873" w:rsidR="008C0272" w:rsidRPr="00610BC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114-115.</w:t>
      </w:r>
    </w:p>
  </w:footnote>
  <w:footnote w:id="199">
    <w:p w14:paraId="49380A47" w14:textId="1A8A3C9C" w:rsidR="008C0272" w:rsidRPr="00610BC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116.</w:t>
      </w:r>
    </w:p>
  </w:footnote>
  <w:footnote w:id="200">
    <w:p w14:paraId="05EF2E9F" w14:textId="3357AC03" w:rsidR="008C0272" w:rsidRPr="00610BC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118-119.</w:t>
      </w:r>
    </w:p>
  </w:footnote>
  <w:footnote w:id="201">
    <w:p w14:paraId="43DC41A9" w14:textId="7F2EC80B" w:rsidR="008C0272" w:rsidRPr="00610BC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142.</w:t>
      </w:r>
    </w:p>
  </w:footnote>
  <w:footnote w:id="202">
    <w:p w14:paraId="73CFB733" w14:textId="77777777" w:rsidR="008C0272" w:rsidRPr="00610BC7" w:rsidRDefault="008C0272" w:rsidP="00455E9A">
      <w:pPr>
        <w:pStyle w:val="FootnoteText"/>
        <w:rPr>
          <w:lang w:val="en-US"/>
        </w:rPr>
      </w:pPr>
      <w:r>
        <w:rPr>
          <w:rStyle w:val="FootnoteReference"/>
        </w:rPr>
        <w:footnoteRef/>
      </w:r>
      <w:r>
        <w:t xml:space="preserve"> </w:t>
      </w:r>
      <w:r w:rsidRPr="00ED61BD">
        <w:rPr>
          <w:sz w:val="20"/>
          <w:szCs w:val="20"/>
        </w:rPr>
        <w:t>Crown Trial Brief Volume 3, Tab 7.</w:t>
      </w:r>
    </w:p>
  </w:footnote>
  <w:footnote w:id="203">
    <w:p w14:paraId="02B41252" w14:textId="628541C9" w:rsidR="008C0272" w:rsidRPr="00610BC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149 and see Exhibit 59.</w:t>
      </w:r>
    </w:p>
  </w:footnote>
  <w:footnote w:id="204">
    <w:p w14:paraId="512F91C1" w14:textId="77A096BD" w:rsidR="008C0272" w:rsidRPr="00610BC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150.</w:t>
      </w:r>
    </w:p>
  </w:footnote>
  <w:footnote w:id="205">
    <w:p w14:paraId="28F77B46" w14:textId="6C956226" w:rsidR="008C0272" w:rsidRPr="00610BC7"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27, page 144.</w:t>
      </w:r>
    </w:p>
  </w:footnote>
  <w:footnote w:id="206">
    <w:p w14:paraId="3940F4F6" w14:textId="3B821580" w:rsidR="008C0272" w:rsidRPr="0062539F"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5-8 and see Exhibit 61.</w:t>
      </w:r>
    </w:p>
  </w:footnote>
  <w:footnote w:id="207">
    <w:p w14:paraId="0C02549E" w14:textId="5C0F2A4A" w:rsidR="008C0272" w:rsidRPr="0062539F"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18.</w:t>
      </w:r>
    </w:p>
  </w:footnote>
  <w:footnote w:id="208">
    <w:p w14:paraId="5074DD4E" w14:textId="2DA4B924" w:rsidR="008C0272" w:rsidRPr="0062539F"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13.</w:t>
      </w:r>
    </w:p>
  </w:footnote>
  <w:footnote w:id="209">
    <w:p w14:paraId="2E5AE41C" w14:textId="57E32282" w:rsidR="008C0272" w:rsidRPr="0062539F"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21.</w:t>
      </w:r>
    </w:p>
  </w:footnote>
  <w:footnote w:id="210">
    <w:p w14:paraId="6FEDD9CA" w14:textId="439063D7" w:rsidR="008C0272" w:rsidRPr="0062539F"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20.</w:t>
      </w:r>
    </w:p>
  </w:footnote>
  <w:footnote w:id="211">
    <w:p w14:paraId="12C90F80" w14:textId="726D6A84" w:rsidR="008C0272" w:rsidRPr="0062539F"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21-22.</w:t>
      </w:r>
    </w:p>
  </w:footnote>
  <w:footnote w:id="212">
    <w:p w14:paraId="46645161" w14:textId="4C1505A7" w:rsidR="008C0272" w:rsidRPr="0062539F"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24.</w:t>
      </w:r>
    </w:p>
  </w:footnote>
  <w:footnote w:id="213">
    <w:p w14:paraId="1192D2B4" w14:textId="28103FF9" w:rsidR="008C0272" w:rsidRPr="008F225A"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28.</w:t>
      </w:r>
    </w:p>
  </w:footnote>
  <w:footnote w:id="214">
    <w:p w14:paraId="48A9FC69" w14:textId="20228001" w:rsidR="008C0272" w:rsidRPr="008F225A"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31.</w:t>
      </w:r>
    </w:p>
  </w:footnote>
  <w:footnote w:id="215">
    <w:p w14:paraId="3C452AC0" w14:textId="24114C53" w:rsidR="008C0272" w:rsidRPr="008F225A"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32.</w:t>
      </w:r>
    </w:p>
  </w:footnote>
  <w:footnote w:id="216">
    <w:p w14:paraId="4485E316" w14:textId="38844033" w:rsidR="008C0272" w:rsidRPr="008F225A"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32.</w:t>
      </w:r>
    </w:p>
  </w:footnote>
  <w:footnote w:id="217">
    <w:p w14:paraId="5F65ACF0" w14:textId="12C033AF" w:rsidR="008C0272" w:rsidRPr="008F225A"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38 and November 29, page 5</w:t>
      </w:r>
      <w:r>
        <w:t>.</w:t>
      </w:r>
    </w:p>
  </w:footnote>
  <w:footnote w:id="218">
    <w:p w14:paraId="5AA86D3F" w14:textId="4AC39E19" w:rsidR="008C0272" w:rsidRPr="008F225A"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93.</w:t>
      </w:r>
    </w:p>
  </w:footnote>
  <w:footnote w:id="219">
    <w:p w14:paraId="0A73DF9C" w14:textId="672CC712" w:rsidR="008C0272" w:rsidRPr="008F225A"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40.</w:t>
      </w:r>
    </w:p>
  </w:footnote>
  <w:footnote w:id="220">
    <w:p w14:paraId="1A560F5C" w14:textId="3822EC71" w:rsidR="008C0272" w:rsidRPr="008F225A"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42-43.</w:t>
      </w:r>
    </w:p>
  </w:footnote>
  <w:footnote w:id="221">
    <w:p w14:paraId="7297EBEC" w14:textId="1AE6DFE8" w:rsidR="008C0272" w:rsidRPr="008F225A"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46.</w:t>
      </w:r>
    </w:p>
  </w:footnote>
  <w:footnote w:id="222">
    <w:p w14:paraId="4942C315" w14:textId="56F2BE7A"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28, page 46-47.</w:t>
      </w:r>
    </w:p>
  </w:footnote>
  <w:footnote w:id="223">
    <w:p w14:paraId="2142CA55" w14:textId="4429C19F"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6.</w:t>
      </w:r>
    </w:p>
  </w:footnote>
  <w:footnote w:id="224">
    <w:p w14:paraId="1A58E038" w14:textId="7899E047"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November 29, page 12 and </w:t>
      </w:r>
      <w:r w:rsidRPr="00EC1E4F">
        <w:rPr>
          <w:sz w:val="20"/>
          <w:szCs w:val="20"/>
        </w:rPr>
        <w:t>see Crown Trial Brief Volume 7, Tab 2.</w:t>
      </w:r>
    </w:p>
  </w:footnote>
  <w:footnote w:id="225">
    <w:p w14:paraId="5E9E86CE" w14:textId="793FB2F0"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15.</w:t>
      </w:r>
    </w:p>
  </w:footnote>
  <w:footnote w:id="226">
    <w:p w14:paraId="02A66B1A" w14:textId="5B20BF4A"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16.</w:t>
      </w:r>
    </w:p>
  </w:footnote>
  <w:footnote w:id="227">
    <w:p w14:paraId="456764E4" w14:textId="12576149" w:rsidR="008C0272" w:rsidRPr="00EC1E4F" w:rsidRDefault="008C0272" w:rsidP="00455E9A">
      <w:pPr>
        <w:pStyle w:val="FootnoteText"/>
        <w:rPr>
          <w:sz w:val="20"/>
          <w:szCs w:val="20"/>
          <w:lang w:val="en-US"/>
        </w:rPr>
      </w:pPr>
      <w:r>
        <w:rPr>
          <w:rStyle w:val="FootnoteReference"/>
        </w:rPr>
        <w:footnoteRef/>
      </w:r>
      <w:r>
        <w:t xml:space="preserve"> </w:t>
      </w:r>
      <w:r w:rsidRPr="00EC1E4F">
        <w:rPr>
          <w:sz w:val="20"/>
          <w:szCs w:val="20"/>
        </w:rPr>
        <w:t>See Crown Trial Brief Volume 12, Tab 1</w:t>
      </w:r>
      <w:r>
        <w:rPr>
          <w:sz w:val="20"/>
          <w:szCs w:val="20"/>
        </w:rPr>
        <w:t>.</w:t>
      </w:r>
    </w:p>
  </w:footnote>
  <w:footnote w:id="228">
    <w:p w14:paraId="2A964B42" w14:textId="0ABBA158"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21.</w:t>
      </w:r>
    </w:p>
  </w:footnote>
  <w:footnote w:id="229">
    <w:p w14:paraId="62D1F7F2" w14:textId="73132AD3"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22.</w:t>
      </w:r>
    </w:p>
  </w:footnote>
  <w:footnote w:id="230">
    <w:p w14:paraId="2C21D801" w14:textId="3A01A441"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23-24.</w:t>
      </w:r>
    </w:p>
  </w:footnote>
  <w:footnote w:id="231">
    <w:p w14:paraId="29687715" w14:textId="40485BA7"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 xml:space="preserve">stice J. Ferguson on November 29, page 25 and </w:t>
      </w:r>
      <w:r w:rsidRPr="0034487F">
        <w:rPr>
          <w:rFonts w:ascii="Times" w:hAnsi="Times" w:cs="Times"/>
          <w:sz w:val="20"/>
          <w:szCs w:val="20"/>
        </w:rPr>
        <w:t>Transcript, Proceedings at Trial before the Honourable Ju</w:t>
      </w:r>
      <w:r>
        <w:rPr>
          <w:rFonts w:ascii="Times" w:hAnsi="Times" w:cs="Times"/>
          <w:sz w:val="20"/>
          <w:szCs w:val="20"/>
        </w:rPr>
        <w:t>stice J. Ferguson on October 30, page 168-169, 179-180 and 229.</w:t>
      </w:r>
    </w:p>
  </w:footnote>
  <w:footnote w:id="232">
    <w:p w14:paraId="27AD1681" w14:textId="3B2B1164"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29.</w:t>
      </w:r>
    </w:p>
  </w:footnote>
  <w:footnote w:id="233">
    <w:p w14:paraId="36451D58" w14:textId="5F5EC65F"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38-39.</w:t>
      </w:r>
    </w:p>
  </w:footnote>
  <w:footnote w:id="234">
    <w:p w14:paraId="14838194" w14:textId="08B6A8FB"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36-37.</w:t>
      </w:r>
    </w:p>
  </w:footnote>
  <w:footnote w:id="235">
    <w:p w14:paraId="140EBE9E" w14:textId="26658BC5"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36.</w:t>
      </w:r>
    </w:p>
  </w:footnote>
  <w:footnote w:id="236">
    <w:p w14:paraId="14B3818D" w14:textId="14CB8C7E"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44.</w:t>
      </w:r>
    </w:p>
  </w:footnote>
  <w:footnote w:id="237">
    <w:p w14:paraId="457DC302" w14:textId="3B810310"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46.</w:t>
      </w:r>
    </w:p>
  </w:footnote>
  <w:footnote w:id="238">
    <w:p w14:paraId="04AEF3D4" w14:textId="2ED9A839"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47-48.</w:t>
      </w:r>
    </w:p>
  </w:footnote>
  <w:footnote w:id="239">
    <w:p w14:paraId="46CCC629" w14:textId="3B99B6A3"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49.</w:t>
      </w:r>
    </w:p>
  </w:footnote>
  <w:footnote w:id="240">
    <w:p w14:paraId="38DAEAF0" w14:textId="13B7F2C1"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55.</w:t>
      </w:r>
    </w:p>
  </w:footnote>
  <w:footnote w:id="241">
    <w:p w14:paraId="4173BD13" w14:textId="77777777" w:rsidR="008C0272" w:rsidRPr="00052FEE" w:rsidRDefault="008C0272" w:rsidP="00455E9A">
      <w:pPr>
        <w:pStyle w:val="FootnoteText"/>
        <w:rPr>
          <w:lang w:val="en-US"/>
        </w:rPr>
      </w:pPr>
      <w:r>
        <w:rPr>
          <w:rStyle w:val="FootnoteReference"/>
        </w:rPr>
        <w:footnoteRef/>
      </w:r>
      <w:r>
        <w:t xml:space="preserve"> </w:t>
      </w:r>
      <w:r w:rsidRPr="00EC1E4F">
        <w:rPr>
          <w:sz w:val="20"/>
          <w:szCs w:val="20"/>
        </w:rPr>
        <w:t>See Exhibit 62.</w:t>
      </w:r>
    </w:p>
  </w:footnote>
  <w:footnote w:id="242">
    <w:p w14:paraId="10294B1C" w14:textId="601EF688"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60-64.</w:t>
      </w:r>
    </w:p>
  </w:footnote>
  <w:footnote w:id="243">
    <w:p w14:paraId="1B333668" w14:textId="3226D553" w:rsidR="008C0272" w:rsidRPr="00052FEE" w:rsidRDefault="008C0272" w:rsidP="00455E9A">
      <w:pPr>
        <w:pStyle w:val="FootnoteText"/>
        <w:rPr>
          <w:lang w:val="en-US"/>
        </w:rPr>
      </w:pPr>
      <w:r>
        <w:rPr>
          <w:rStyle w:val="FootnoteReference"/>
        </w:rPr>
        <w:footnoteRef/>
      </w:r>
      <w:r>
        <w:t xml:space="preserve"> </w:t>
      </w:r>
      <w:r w:rsidRPr="0034487F">
        <w:rPr>
          <w:rFonts w:ascii="Times" w:hAnsi="Times" w:cs="Times"/>
          <w:sz w:val="20"/>
          <w:szCs w:val="20"/>
        </w:rPr>
        <w:t>Transcript, Proceedings at Trial before the Honourable Ju</w:t>
      </w:r>
      <w:r>
        <w:rPr>
          <w:rFonts w:ascii="Times" w:hAnsi="Times" w:cs="Times"/>
          <w:sz w:val="20"/>
          <w:szCs w:val="20"/>
        </w:rPr>
        <w:t>stice J. Ferguson on November 29, page 55.</w:t>
      </w:r>
    </w:p>
  </w:footnote>
  <w:footnote w:id="244">
    <w:p w14:paraId="70F3F922" w14:textId="5A9DEF26" w:rsidR="008C0272" w:rsidRPr="00F72B13" w:rsidRDefault="008C0272">
      <w:pPr>
        <w:pStyle w:val="FootnoteText"/>
        <w:rPr>
          <w:lang w:val="en-US"/>
        </w:rPr>
      </w:pPr>
      <w:r>
        <w:rPr>
          <w:rStyle w:val="FootnoteReference"/>
        </w:rPr>
        <w:footnoteRef/>
      </w:r>
      <w:r>
        <w:t xml:space="preserve"> </w:t>
      </w:r>
      <w:r w:rsidRPr="00F72B13">
        <w:rPr>
          <w:sz w:val="20"/>
          <w:szCs w:val="20"/>
          <w:lang w:val="en-US"/>
        </w:rPr>
        <w:t>Para 320 and 326 of the Crown’s written submissions.</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833"/>
    <w:multiLevelType w:val="hybridMultilevel"/>
    <w:tmpl w:val="E5B86690"/>
    <w:lvl w:ilvl="0" w:tplc="CC0EEC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158EB"/>
    <w:multiLevelType w:val="hybridMultilevel"/>
    <w:tmpl w:val="FB00F0DE"/>
    <w:lvl w:ilvl="0" w:tplc="A4BEBC0E">
      <w:start w:val="1"/>
      <w:numFmt w:val="decimal"/>
      <w:lvlText w:val="%1"/>
      <w:lvlJc w:val="left"/>
      <w:pPr>
        <w:ind w:left="360" w:hanging="360"/>
      </w:pPr>
      <w:rPr>
        <w:rFonts w:ascii="Times" w:hAnsi="Times" w:hint="default"/>
        <w:b w:val="0"/>
        <w:i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8A70B6"/>
    <w:multiLevelType w:val="hybridMultilevel"/>
    <w:tmpl w:val="1D326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57E0E"/>
    <w:multiLevelType w:val="hybridMultilevel"/>
    <w:tmpl w:val="FA2E5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047A5"/>
    <w:multiLevelType w:val="hybridMultilevel"/>
    <w:tmpl w:val="B83A2FD4"/>
    <w:lvl w:ilvl="0" w:tplc="31A86C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56800"/>
    <w:multiLevelType w:val="hybridMultilevel"/>
    <w:tmpl w:val="E5B86690"/>
    <w:lvl w:ilvl="0" w:tplc="CC0EEC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FF13D1"/>
    <w:multiLevelType w:val="hybridMultilevel"/>
    <w:tmpl w:val="1D5EDED8"/>
    <w:lvl w:ilvl="0" w:tplc="B042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A11A68"/>
    <w:multiLevelType w:val="hybridMultilevel"/>
    <w:tmpl w:val="B0EE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4507B"/>
    <w:multiLevelType w:val="hybridMultilevel"/>
    <w:tmpl w:val="EB84E004"/>
    <w:lvl w:ilvl="0" w:tplc="44B40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2A0BE0"/>
    <w:multiLevelType w:val="hybridMultilevel"/>
    <w:tmpl w:val="99B8AC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6921909"/>
    <w:multiLevelType w:val="hybridMultilevel"/>
    <w:tmpl w:val="BB3ED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9"/>
  </w:num>
  <w:num w:numId="5">
    <w:abstractNumId w:val="3"/>
  </w:num>
  <w:num w:numId="6">
    <w:abstractNumId w:val="6"/>
  </w:num>
  <w:num w:numId="7">
    <w:abstractNumId w:val="0"/>
  </w:num>
  <w:num w:numId="8">
    <w:abstractNumId w:val="10"/>
  </w:num>
  <w:num w:numId="9">
    <w:abstractNumId w:val="8"/>
  </w:num>
  <w:num w:numId="10">
    <w:abstractNumId w:val="5"/>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41"/>
    <w:rsid w:val="00000C12"/>
    <w:rsid w:val="00003352"/>
    <w:rsid w:val="000059D7"/>
    <w:rsid w:val="00012328"/>
    <w:rsid w:val="00012C3C"/>
    <w:rsid w:val="000152EF"/>
    <w:rsid w:val="000157E7"/>
    <w:rsid w:val="00015960"/>
    <w:rsid w:val="000169F2"/>
    <w:rsid w:val="000200BE"/>
    <w:rsid w:val="00032846"/>
    <w:rsid w:val="0003353C"/>
    <w:rsid w:val="000344D7"/>
    <w:rsid w:val="00036887"/>
    <w:rsid w:val="00037161"/>
    <w:rsid w:val="0004089E"/>
    <w:rsid w:val="00041F15"/>
    <w:rsid w:val="00043992"/>
    <w:rsid w:val="000449AE"/>
    <w:rsid w:val="00044AE5"/>
    <w:rsid w:val="00045E65"/>
    <w:rsid w:val="00047316"/>
    <w:rsid w:val="00047604"/>
    <w:rsid w:val="00047EED"/>
    <w:rsid w:val="00050585"/>
    <w:rsid w:val="00051B7A"/>
    <w:rsid w:val="00051C8E"/>
    <w:rsid w:val="000547DD"/>
    <w:rsid w:val="00055059"/>
    <w:rsid w:val="0006032D"/>
    <w:rsid w:val="0006099E"/>
    <w:rsid w:val="00062BF8"/>
    <w:rsid w:val="00063B00"/>
    <w:rsid w:val="00064FD7"/>
    <w:rsid w:val="000668D8"/>
    <w:rsid w:val="00067B60"/>
    <w:rsid w:val="00067F20"/>
    <w:rsid w:val="0007078A"/>
    <w:rsid w:val="00071006"/>
    <w:rsid w:val="0007102E"/>
    <w:rsid w:val="00074CBB"/>
    <w:rsid w:val="0008062E"/>
    <w:rsid w:val="00081FE8"/>
    <w:rsid w:val="0008462C"/>
    <w:rsid w:val="00085DF2"/>
    <w:rsid w:val="0008706F"/>
    <w:rsid w:val="00087B20"/>
    <w:rsid w:val="000905C3"/>
    <w:rsid w:val="0009215F"/>
    <w:rsid w:val="00094BD7"/>
    <w:rsid w:val="00096A10"/>
    <w:rsid w:val="000A17F9"/>
    <w:rsid w:val="000A198B"/>
    <w:rsid w:val="000A4BC4"/>
    <w:rsid w:val="000B0284"/>
    <w:rsid w:val="000B1B1B"/>
    <w:rsid w:val="000B5CBF"/>
    <w:rsid w:val="000B5DDA"/>
    <w:rsid w:val="000C066C"/>
    <w:rsid w:val="000C21DD"/>
    <w:rsid w:val="000C243E"/>
    <w:rsid w:val="000C44CF"/>
    <w:rsid w:val="000C5D60"/>
    <w:rsid w:val="000C6718"/>
    <w:rsid w:val="000C74C0"/>
    <w:rsid w:val="000D2896"/>
    <w:rsid w:val="000D42EC"/>
    <w:rsid w:val="000D51EE"/>
    <w:rsid w:val="000E07D6"/>
    <w:rsid w:val="000E1596"/>
    <w:rsid w:val="000E3491"/>
    <w:rsid w:val="000E5B61"/>
    <w:rsid w:val="000F04D6"/>
    <w:rsid w:val="000F1967"/>
    <w:rsid w:val="000F5E4B"/>
    <w:rsid w:val="000F5F29"/>
    <w:rsid w:val="000F7140"/>
    <w:rsid w:val="00102E4F"/>
    <w:rsid w:val="00103CBD"/>
    <w:rsid w:val="001042D8"/>
    <w:rsid w:val="00104551"/>
    <w:rsid w:val="00104E21"/>
    <w:rsid w:val="00107B90"/>
    <w:rsid w:val="00110016"/>
    <w:rsid w:val="00110B20"/>
    <w:rsid w:val="00111DF6"/>
    <w:rsid w:val="00113AE8"/>
    <w:rsid w:val="00116B43"/>
    <w:rsid w:val="001171F6"/>
    <w:rsid w:val="00122A41"/>
    <w:rsid w:val="0012436D"/>
    <w:rsid w:val="00124E37"/>
    <w:rsid w:val="001263A4"/>
    <w:rsid w:val="00127C33"/>
    <w:rsid w:val="00135955"/>
    <w:rsid w:val="00141843"/>
    <w:rsid w:val="00143014"/>
    <w:rsid w:val="00144622"/>
    <w:rsid w:val="00145964"/>
    <w:rsid w:val="001462D0"/>
    <w:rsid w:val="00147DEF"/>
    <w:rsid w:val="001517AC"/>
    <w:rsid w:val="00155489"/>
    <w:rsid w:val="001564C5"/>
    <w:rsid w:val="00156D0B"/>
    <w:rsid w:val="0016231B"/>
    <w:rsid w:val="00166C6B"/>
    <w:rsid w:val="00173269"/>
    <w:rsid w:val="00173566"/>
    <w:rsid w:val="00173F4D"/>
    <w:rsid w:val="0017532C"/>
    <w:rsid w:val="001762FB"/>
    <w:rsid w:val="00176313"/>
    <w:rsid w:val="001778B4"/>
    <w:rsid w:val="0018031E"/>
    <w:rsid w:val="00182A40"/>
    <w:rsid w:val="00182A9A"/>
    <w:rsid w:val="00183133"/>
    <w:rsid w:val="001866CF"/>
    <w:rsid w:val="0018783C"/>
    <w:rsid w:val="0019026F"/>
    <w:rsid w:val="00191ED0"/>
    <w:rsid w:val="001923CC"/>
    <w:rsid w:val="00192B3C"/>
    <w:rsid w:val="00192E15"/>
    <w:rsid w:val="00194670"/>
    <w:rsid w:val="001961F2"/>
    <w:rsid w:val="001A0079"/>
    <w:rsid w:val="001A164B"/>
    <w:rsid w:val="001A34CE"/>
    <w:rsid w:val="001A5583"/>
    <w:rsid w:val="001A6E23"/>
    <w:rsid w:val="001B18F8"/>
    <w:rsid w:val="001B2250"/>
    <w:rsid w:val="001C0C76"/>
    <w:rsid w:val="001C3C67"/>
    <w:rsid w:val="001C3E31"/>
    <w:rsid w:val="001C7573"/>
    <w:rsid w:val="001D4A09"/>
    <w:rsid w:val="001E0DB2"/>
    <w:rsid w:val="001E32E1"/>
    <w:rsid w:val="001F0F7F"/>
    <w:rsid w:val="001F4229"/>
    <w:rsid w:val="001F461C"/>
    <w:rsid w:val="001F5C74"/>
    <w:rsid w:val="001F6CBC"/>
    <w:rsid w:val="002006BE"/>
    <w:rsid w:val="00201493"/>
    <w:rsid w:val="002079DF"/>
    <w:rsid w:val="002109E6"/>
    <w:rsid w:val="00213DED"/>
    <w:rsid w:val="00216462"/>
    <w:rsid w:val="0021747C"/>
    <w:rsid w:val="0022184C"/>
    <w:rsid w:val="00223DE1"/>
    <w:rsid w:val="00225414"/>
    <w:rsid w:val="00226112"/>
    <w:rsid w:val="00226BAD"/>
    <w:rsid w:val="00226F12"/>
    <w:rsid w:val="002312CB"/>
    <w:rsid w:val="00231E58"/>
    <w:rsid w:val="00233474"/>
    <w:rsid w:val="002341D3"/>
    <w:rsid w:val="00235A85"/>
    <w:rsid w:val="002364B6"/>
    <w:rsid w:val="00236557"/>
    <w:rsid w:val="00245347"/>
    <w:rsid w:val="002459CF"/>
    <w:rsid w:val="00245CBB"/>
    <w:rsid w:val="00245E3C"/>
    <w:rsid w:val="002504B6"/>
    <w:rsid w:val="0025091D"/>
    <w:rsid w:val="00251A29"/>
    <w:rsid w:val="0025276D"/>
    <w:rsid w:val="00252B12"/>
    <w:rsid w:val="0025468F"/>
    <w:rsid w:val="0025484E"/>
    <w:rsid w:val="0025600B"/>
    <w:rsid w:val="0026063B"/>
    <w:rsid w:val="00263258"/>
    <w:rsid w:val="002659CE"/>
    <w:rsid w:val="00267B97"/>
    <w:rsid w:val="00267CC5"/>
    <w:rsid w:val="00267F4C"/>
    <w:rsid w:val="00271F75"/>
    <w:rsid w:val="002727D8"/>
    <w:rsid w:val="00273DF6"/>
    <w:rsid w:val="0027488D"/>
    <w:rsid w:val="0027664C"/>
    <w:rsid w:val="0028699C"/>
    <w:rsid w:val="00287444"/>
    <w:rsid w:val="0028788A"/>
    <w:rsid w:val="00287A43"/>
    <w:rsid w:val="00287A66"/>
    <w:rsid w:val="00290C58"/>
    <w:rsid w:val="002943F7"/>
    <w:rsid w:val="00294D2F"/>
    <w:rsid w:val="00294EC8"/>
    <w:rsid w:val="002977FA"/>
    <w:rsid w:val="002A0745"/>
    <w:rsid w:val="002A616D"/>
    <w:rsid w:val="002A7CA1"/>
    <w:rsid w:val="002B10A5"/>
    <w:rsid w:val="002B1156"/>
    <w:rsid w:val="002B1571"/>
    <w:rsid w:val="002B1F06"/>
    <w:rsid w:val="002B3B95"/>
    <w:rsid w:val="002B4EAF"/>
    <w:rsid w:val="002B501F"/>
    <w:rsid w:val="002B5630"/>
    <w:rsid w:val="002B5672"/>
    <w:rsid w:val="002C479F"/>
    <w:rsid w:val="002C47AA"/>
    <w:rsid w:val="002C6885"/>
    <w:rsid w:val="002C6DE2"/>
    <w:rsid w:val="002C6E23"/>
    <w:rsid w:val="002D05F6"/>
    <w:rsid w:val="002D0B03"/>
    <w:rsid w:val="002D1DA0"/>
    <w:rsid w:val="002D1E35"/>
    <w:rsid w:val="002D50F5"/>
    <w:rsid w:val="002D6CD1"/>
    <w:rsid w:val="002D7D7F"/>
    <w:rsid w:val="002E1143"/>
    <w:rsid w:val="002E1B8B"/>
    <w:rsid w:val="002E40D1"/>
    <w:rsid w:val="002E4C0A"/>
    <w:rsid w:val="002E57B8"/>
    <w:rsid w:val="002E5AA2"/>
    <w:rsid w:val="002E654C"/>
    <w:rsid w:val="002E70EF"/>
    <w:rsid w:val="002F0945"/>
    <w:rsid w:val="002F40AB"/>
    <w:rsid w:val="003000B9"/>
    <w:rsid w:val="0030353C"/>
    <w:rsid w:val="00304355"/>
    <w:rsid w:val="00304C52"/>
    <w:rsid w:val="0030764B"/>
    <w:rsid w:val="00311BAC"/>
    <w:rsid w:val="00313505"/>
    <w:rsid w:val="003146ED"/>
    <w:rsid w:val="0032477B"/>
    <w:rsid w:val="00326563"/>
    <w:rsid w:val="00327093"/>
    <w:rsid w:val="00330644"/>
    <w:rsid w:val="00330BF7"/>
    <w:rsid w:val="00330D7B"/>
    <w:rsid w:val="00330E08"/>
    <w:rsid w:val="0033168E"/>
    <w:rsid w:val="00336E6D"/>
    <w:rsid w:val="00340B78"/>
    <w:rsid w:val="00343FCB"/>
    <w:rsid w:val="0034487F"/>
    <w:rsid w:val="003475DE"/>
    <w:rsid w:val="003523C8"/>
    <w:rsid w:val="00353A9F"/>
    <w:rsid w:val="003555BB"/>
    <w:rsid w:val="003632C5"/>
    <w:rsid w:val="00366BDC"/>
    <w:rsid w:val="00366F2A"/>
    <w:rsid w:val="00370516"/>
    <w:rsid w:val="00370AD7"/>
    <w:rsid w:val="00370EE0"/>
    <w:rsid w:val="0037311E"/>
    <w:rsid w:val="00377353"/>
    <w:rsid w:val="00382B95"/>
    <w:rsid w:val="00383284"/>
    <w:rsid w:val="00384D3E"/>
    <w:rsid w:val="00387B19"/>
    <w:rsid w:val="003911BF"/>
    <w:rsid w:val="00393344"/>
    <w:rsid w:val="0039364D"/>
    <w:rsid w:val="0039416C"/>
    <w:rsid w:val="00397225"/>
    <w:rsid w:val="003A0021"/>
    <w:rsid w:val="003B3FB2"/>
    <w:rsid w:val="003B7061"/>
    <w:rsid w:val="003B782D"/>
    <w:rsid w:val="003C04E5"/>
    <w:rsid w:val="003C4770"/>
    <w:rsid w:val="003C4DCA"/>
    <w:rsid w:val="003C7B9E"/>
    <w:rsid w:val="003D313F"/>
    <w:rsid w:val="003D4FDD"/>
    <w:rsid w:val="003E054B"/>
    <w:rsid w:val="003E0799"/>
    <w:rsid w:val="003E0E1C"/>
    <w:rsid w:val="003E15BC"/>
    <w:rsid w:val="003E3CA6"/>
    <w:rsid w:val="003E6F3A"/>
    <w:rsid w:val="003E7DBF"/>
    <w:rsid w:val="003F1DEC"/>
    <w:rsid w:val="003F3414"/>
    <w:rsid w:val="003F5194"/>
    <w:rsid w:val="003F6071"/>
    <w:rsid w:val="003F6C6E"/>
    <w:rsid w:val="004014E7"/>
    <w:rsid w:val="00406DB3"/>
    <w:rsid w:val="004128C5"/>
    <w:rsid w:val="0041433A"/>
    <w:rsid w:val="00416F7D"/>
    <w:rsid w:val="004178AD"/>
    <w:rsid w:val="004179D2"/>
    <w:rsid w:val="00422D3E"/>
    <w:rsid w:val="0042363F"/>
    <w:rsid w:val="004257BA"/>
    <w:rsid w:val="004267C8"/>
    <w:rsid w:val="0043033A"/>
    <w:rsid w:val="004311AF"/>
    <w:rsid w:val="0043552E"/>
    <w:rsid w:val="00437402"/>
    <w:rsid w:val="00455E9A"/>
    <w:rsid w:val="004567C1"/>
    <w:rsid w:val="00457D46"/>
    <w:rsid w:val="00461958"/>
    <w:rsid w:val="00461D76"/>
    <w:rsid w:val="004621CB"/>
    <w:rsid w:val="00465EA7"/>
    <w:rsid w:val="004673EE"/>
    <w:rsid w:val="004716B8"/>
    <w:rsid w:val="00472026"/>
    <w:rsid w:val="004723F0"/>
    <w:rsid w:val="00473562"/>
    <w:rsid w:val="00474255"/>
    <w:rsid w:val="00475961"/>
    <w:rsid w:val="004759C4"/>
    <w:rsid w:val="00480232"/>
    <w:rsid w:val="004850DA"/>
    <w:rsid w:val="004870E8"/>
    <w:rsid w:val="004878CD"/>
    <w:rsid w:val="00496FDD"/>
    <w:rsid w:val="004A120F"/>
    <w:rsid w:val="004A1660"/>
    <w:rsid w:val="004A2A99"/>
    <w:rsid w:val="004A3782"/>
    <w:rsid w:val="004A4F23"/>
    <w:rsid w:val="004A5B52"/>
    <w:rsid w:val="004A6FF5"/>
    <w:rsid w:val="004B5FE2"/>
    <w:rsid w:val="004B6035"/>
    <w:rsid w:val="004B6824"/>
    <w:rsid w:val="004C0F2B"/>
    <w:rsid w:val="004C10BF"/>
    <w:rsid w:val="004C19C7"/>
    <w:rsid w:val="004C33B2"/>
    <w:rsid w:val="004C3AD7"/>
    <w:rsid w:val="004C41CE"/>
    <w:rsid w:val="004C49E0"/>
    <w:rsid w:val="004C4C9D"/>
    <w:rsid w:val="004C5177"/>
    <w:rsid w:val="004C698A"/>
    <w:rsid w:val="004C7236"/>
    <w:rsid w:val="004C7B25"/>
    <w:rsid w:val="004C7BA9"/>
    <w:rsid w:val="004D2AE6"/>
    <w:rsid w:val="004D2C05"/>
    <w:rsid w:val="004D2FB2"/>
    <w:rsid w:val="004D4AF4"/>
    <w:rsid w:val="004D5110"/>
    <w:rsid w:val="004D6E7C"/>
    <w:rsid w:val="004E0FF4"/>
    <w:rsid w:val="004E1C21"/>
    <w:rsid w:val="004E5105"/>
    <w:rsid w:val="004E6319"/>
    <w:rsid w:val="004F13CE"/>
    <w:rsid w:val="004F2FE4"/>
    <w:rsid w:val="004F3AD1"/>
    <w:rsid w:val="004F43C0"/>
    <w:rsid w:val="004F48ED"/>
    <w:rsid w:val="004F62E3"/>
    <w:rsid w:val="00502532"/>
    <w:rsid w:val="00503717"/>
    <w:rsid w:val="00503E9E"/>
    <w:rsid w:val="00504293"/>
    <w:rsid w:val="00504BE0"/>
    <w:rsid w:val="005061AC"/>
    <w:rsid w:val="00511D93"/>
    <w:rsid w:val="00512352"/>
    <w:rsid w:val="00512420"/>
    <w:rsid w:val="00512819"/>
    <w:rsid w:val="00512ADC"/>
    <w:rsid w:val="00512ED0"/>
    <w:rsid w:val="005144A7"/>
    <w:rsid w:val="00515364"/>
    <w:rsid w:val="00521821"/>
    <w:rsid w:val="005222F3"/>
    <w:rsid w:val="005238E5"/>
    <w:rsid w:val="00524CB3"/>
    <w:rsid w:val="00525240"/>
    <w:rsid w:val="00526D88"/>
    <w:rsid w:val="005327F0"/>
    <w:rsid w:val="00532D98"/>
    <w:rsid w:val="005358E7"/>
    <w:rsid w:val="0053608C"/>
    <w:rsid w:val="00542CC3"/>
    <w:rsid w:val="00547E7B"/>
    <w:rsid w:val="00550B89"/>
    <w:rsid w:val="0055132C"/>
    <w:rsid w:val="005534E3"/>
    <w:rsid w:val="0055510D"/>
    <w:rsid w:val="00556614"/>
    <w:rsid w:val="0055708F"/>
    <w:rsid w:val="00557C11"/>
    <w:rsid w:val="005604EC"/>
    <w:rsid w:val="00560517"/>
    <w:rsid w:val="00565807"/>
    <w:rsid w:val="00566D19"/>
    <w:rsid w:val="0056703F"/>
    <w:rsid w:val="005700B5"/>
    <w:rsid w:val="005709A4"/>
    <w:rsid w:val="00570E6B"/>
    <w:rsid w:val="00573935"/>
    <w:rsid w:val="00575928"/>
    <w:rsid w:val="00575D99"/>
    <w:rsid w:val="00580188"/>
    <w:rsid w:val="00581293"/>
    <w:rsid w:val="00582625"/>
    <w:rsid w:val="005913DF"/>
    <w:rsid w:val="00593716"/>
    <w:rsid w:val="0059378C"/>
    <w:rsid w:val="00594447"/>
    <w:rsid w:val="00595BBC"/>
    <w:rsid w:val="005A147D"/>
    <w:rsid w:val="005B2795"/>
    <w:rsid w:val="005B2F86"/>
    <w:rsid w:val="005B3F7B"/>
    <w:rsid w:val="005B4D28"/>
    <w:rsid w:val="005B5018"/>
    <w:rsid w:val="005B5EFF"/>
    <w:rsid w:val="005B6385"/>
    <w:rsid w:val="005B7254"/>
    <w:rsid w:val="005C132A"/>
    <w:rsid w:val="005C46C5"/>
    <w:rsid w:val="005C4C60"/>
    <w:rsid w:val="005C5E1F"/>
    <w:rsid w:val="005C6A66"/>
    <w:rsid w:val="005D1DBD"/>
    <w:rsid w:val="005D3012"/>
    <w:rsid w:val="005D50D6"/>
    <w:rsid w:val="005D6152"/>
    <w:rsid w:val="005D78ED"/>
    <w:rsid w:val="005E15A7"/>
    <w:rsid w:val="005E4D35"/>
    <w:rsid w:val="005E67D6"/>
    <w:rsid w:val="005E6C39"/>
    <w:rsid w:val="005F2896"/>
    <w:rsid w:val="005F40D1"/>
    <w:rsid w:val="005F669F"/>
    <w:rsid w:val="005F6E94"/>
    <w:rsid w:val="005F728F"/>
    <w:rsid w:val="00601E1E"/>
    <w:rsid w:val="00602641"/>
    <w:rsid w:val="00603DFF"/>
    <w:rsid w:val="006046DC"/>
    <w:rsid w:val="00605CF1"/>
    <w:rsid w:val="00606C78"/>
    <w:rsid w:val="00612D82"/>
    <w:rsid w:val="0061452E"/>
    <w:rsid w:val="00616379"/>
    <w:rsid w:val="00625DD0"/>
    <w:rsid w:val="00625EA9"/>
    <w:rsid w:val="00627A27"/>
    <w:rsid w:val="0063788F"/>
    <w:rsid w:val="006402AA"/>
    <w:rsid w:val="00641303"/>
    <w:rsid w:val="00641593"/>
    <w:rsid w:val="00641A36"/>
    <w:rsid w:val="006441CC"/>
    <w:rsid w:val="00651E9F"/>
    <w:rsid w:val="00653CC2"/>
    <w:rsid w:val="00654D16"/>
    <w:rsid w:val="006554DB"/>
    <w:rsid w:val="006574C3"/>
    <w:rsid w:val="006618B1"/>
    <w:rsid w:val="00664725"/>
    <w:rsid w:val="00670C74"/>
    <w:rsid w:val="0067162A"/>
    <w:rsid w:val="00673E70"/>
    <w:rsid w:val="00675618"/>
    <w:rsid w:val="00687AFC"/>
    <w:rsid w:val="00690502"/>
    <w:rsid w:val="006918A3"/>
    <w:rsid w:val="00693CE0"/>
    <w:rsid w:val="00694457"/>
    <w:rsid w:val="00696B5C"/>
    <w:rsid w:val="006A3059"/>
    <w:rsid w:val="006A4B7E"/>
    <w:rsid w:val="006A7AFF"/>
    <w:rsid w:val="006B14E3"/>
    <w:rsid w:val="006B4811"/>
    <w:rsid w:val="006B6A8C"/>
    <w:rsid w:val="006B6E14"/>
    <w:rsid w:val="006B7F06"/>
    <w:rsid w:val="006C2BBB"/>
    <w:rsid w:val="006C3996"/>
    <w:rsid w:val="006C6B06"/>
    <w:rsid w:val="006C7EEB"/>
    <w:rsid w:val="006D3F43"/>
    <w:rsid w:val="006D41B9"/>
    <w:rsid w:val="006D48C3"/>
    <w:rsid w:val="006D4A7E"/>
    <w:rsid w:val="006D4B86"/>
    <w:rsid w:val="006D5A62"/>
    <w:rsid w:val="006D60B7"/>
    <w:rsid w:val="006D7A31"/>
    <w:rsid w:val="006E0E98"/>
    <w:rsid w:val="006E3E4E"/>
    <w:rsid w:val="006E55DA"/>
    <w:rsid w:val="006E610D"/>
    <w:rsid w:val="006E621B"/>
    <w:rsid w:val="006F2CF3"/>
    <w:rsid w:val="006F3039"/>
    <w:rsid w:val="006F31C9"/>
    <w:rsid w:val="006F3947"/>
    <w:rsid w:val="006F6A4B"/>
    <w:rsid w:val="006F6C0D"/>
    <w:rsid w:val="00700608"/>
    <w:rsid w:val="00700B4C"/>
    <w:rsid w:val="00705127"/>
    <w:rsid w:val="0071053B"/>
    <w:rsid w:val="00711F27"/>
    <w:rsid w:val="00715768"/>
    <w:rsid w:val="007163EF"/>
    <w:rsid w:val="0072094D"/>
    <w:rsid w:val="00720FDA"/>
    <w:rsid w:val="00723843"/>
    <w:rsid w:val="00726F5E"/>
    <w:rsid w:val="00727CF0"/>
    <w:rsid w:val="0073132F"/>
    <w:rsid w:val="00731866"/>
    <w:rsid w:val="00733762"/>
    <w:rsid w:val="007337F0"/>
    <w:rsid w:val="00742EC6"/>
    <w:rsid w:val="00743760"/>
    <w:rsid w:val="0074578F"/>
    <w:rsid w:val="007540AB"/>
    <w:rsid w:val="00754A88"/>
    <w:rsid w:val="007622A9"/>
    <w:rsid w:val="007635BE"/>
    <w:rsid w:val="00763D74"/>
    <w:rsid w:val="00770B7C"/>
    <w:rsid w:val="00770DB3"/>
    <w:rsid w:val="0077145C"/>
    <w:rsid w:val="007765C1"/>
    <w:rsid w:val="00776F33"/>
    <w:rsid w:val="00777E99"/>
    <w:rsid w:val="00780041"/>
    <w:rsid w:val="0078200A"/>
    <w:rsid w:val="007834FB"/>
    <w:rsid w:val="00784248"/>
    <w:rsid w:val="00787BE0"/>
    <w:rsid w:val="00791126"/>
    <w:rsid w:val="007917CA"/>
    <w:rsid w:val="00792AF9"/>
    <w:rsid w:val="00797C98"/>
    <w:rsid w:val="00797CF4"/>
    <w:rsid w:val="007A1316"/>
    <w:rsid w:val="007A24C0"/>
    <w:rsid w:val="007A2C32"/>
    <w:rsid w:val="007A3734"/>
    <w:rsid w:val="007A3CAB"/>
    <w:rsid w:val="007A4F68"/>
    <w:rsid w:val="007A7D02"/>
    <w:rsid w:val="007B098C"/>
    <w:rsid w:val="007B0F80"/>
    <w:rsid w:val="007B204E"/>
    <w:rsid w:val="007B36C6"/>
    <w:rsid w:val="007B3B3B"/>
    <w:rsid w:val="007B7882"/>
    <w:rsid w:val="007C0DC1"/>
    <w:rsid w:val="007C1177"/>
    <w:rsid w:val="007C1B03"/>
    <w:rsid w:val="007C26B0"/>
    <w:rsid w:val="007D175A"/>
    <w:rsid w:val="007D2A41"/>
    <w:rsid w:val="007D2C78"/>
    <w:rsid w:val="007D7A22"/>
    <w:rsid w:val="007E0599"/>
    <w:rsid w:val="007E0AF9"/>
    <w:rsid w:val="007F1C15"/>
    <w:rsid w:val="007F37EC"/>
    <w:rsid w:val="007F40AD"/>
    <w:rsid w:val="007F4479"/>
    <w:rsid w:val="007F52BA"/>
    <w:rsid w:val="007F6E76"/>
    <w:rsid w:val="007F7F4E"/>
    <w:rsid w:val="008071F9"/>
    <w:rsid w:val="00811B1D"/>
    <w:rsid w:val="00812A1C"/>
    <w:rsid w:val="00814672"/>
    <w:rsid w:val="00816122"/>
    <w:rsid w:val="008177DC"/>
    <w:rsid w:val="008223D0"/>
    <w:rsid w:val="00823185"/>
    <w:rsid w:val="0082323F"/>
    <w:rsid w:val="00823AC4"/>
    <w:rsid w:val="0082780D"/>
    <w:rsid w:val="0083154B"/>
    <w:rsid w:val="00837D89"/>
    <w:rsid w:val="00840145"/>
    <w:rsid w:val="00842DE5"/>
    <w:rsid w:val="00845E67"/>
    <w:rsid w:val="00850386"/>
    <w:rsid w:val="00852252"/>
    <w:rsid w:val="008523C4"/>
    <w:rsid w:val="00852A07"/>
    <w:rsid w:val="008552E4"/>
    <w:rsid w:val="0085579C"/>
    <w:rsid w:val="00855F74"/>
    <w:rsid w:val="00860CEB"/>
    <w:rsid w:val="0086227B"/>
    <w:rsid w:val="00871814"/>
    <w:rsid w:val="00873D90"/>
    <w:rsid w:val="00873DA9"/>
    <w:rsid w:val="00873F80"/>
    <w:rsid w:val="00876060"/>
    <w:rsid w:val="00877788"/>
    <w:rsid w:val="00881009"/>
    <w:rsid w:val="00882D10"/>
    <w:rsid w:val="008864D4"/>
    <w:rsid w:val="00886CB6"/>
    <w:rsid w:val="008875DB"/>
    <w:rsid w:val="00892256"/>
    <w:rsid w:val="00892688"/>
    <w:rsid w:val="008928CB"/>
    <w:rsid w:val="00894048"/>
    <w:rsid w:val="0089517E"/>
    <w:rsid w:val="00896570"/>
    <w:rsid w:val="008A02FA"/>
    <w:rsid w:val="008A3189"/>
    <w:rsid w:val="008A3D83"/>
    <w:rsid w:val="008A5D12"/>
    <w:rsid w:val="008B0770"/>
    <w:rsid w:val="008B0879"/>
    <w:rsid w:val="008B2295"/>
    <w:rsid w:val="008B3500"/>
    <w:rsid w:val="008B3526"/>
    <w:rsid w:val="008B5F82"/>
    <w:rsid w:val="008B6DB8"/>
    <w:rsid w:val="008B79CD"/>
    <w:rsid w:val="008C0272"/>
    <w:rsid w:val="008C1820"/>
    <w:rsid w:val="008C2B49"/>
    <w:rsid w:val="008C3524"/>
    <w:rsid w:val="008C3D2E"/>
    <w:rsid w:val="008C75A4"/>
    <w:rsid w:val="008D55A2"/>
    <w:rsid w:val="008E0097"/>
    <w:rsid w:val="008E12C6"/>
    <w:rsid w:val="008E157A"/>
    <w:rsid w:val="008E5AE2"/>
    <w:rsid w:val="008E63FF"/>
    <w:rsid w:val="008F2E8C"/>
    <w:rsid w:val="008F3B6A"/>
    <w:rsid w:val="008F50DF"/>
    <w:rsid w:val="008F554E"/>
    <w:rsid w:val="008F5F0B"/>
    <w:rsid w:val="008F692F"/>
    <w:rsid w:val="00901708"/>
    <w:rsid w:val="009022C4"/>
    <w:rsid w:val="00903FFC"/>
    <w:rsid w:val="009100BE"/>
    <w:rsid w:val="00910FD4"/>
    <w:rsid w:val="009113BB"/>
    <w:rsid w:val="00911CA6"/>
    <w:rsid w:val="0091337F"/>
    <w:rsid w:val="009138BC"/>
    <w:rsid w:val="00915E88"/>
    <w:rsid w:val="0091621F"/>
    <w:rsid w:val="00916ACC"/>
    <w:rsid w:val="00917DEB"/>
    <w:rsid w:val="0092027F"/>
    <w:rsid w:val="00921540"/>
    <w:rsid w:val="00921804"/>
    <w:rsid w:val="009219FF"/>
    <w:rsid w:val="009238C3"/>
    <w:rsid w:val="00923CEE"/>
    <w:rsid w:val="00927191"/>
    <w:rsid w:val="00930506"/>
    <w:rsid w:val="00934972"/>
    <w:rsid w:val="00934CB7"/>
    <w:rsid w:val="0094062E"/>
    <w:rsid w:val="00942038"/>
    <w:rsid w:val="00942B5F"/>
    <w:rsid w:val="00955040"/>
    <w:rsid w:val="00955938"/>
    <w:rsid w:val="0095686E"/>
    <w:rsid w:val="00957DAB"/>
    <w:rsid w:val="00963B31"/>
    <w:rsid w:val="00964865"/>
    <w:rsid w:val="00965044"/>
    <w:rsid w:val="009671A9"/>
    <w:rsid w:val="009673DD"/>
    <w:rsid w:val="00972729"/>
    <w:rsid w:val="00972A31"/>
    <w:rsid w:val="00974EFF"/>
    <w:rsid w:val="009761E4"/>
    <w:rsid w:val="009770A1"/>
    <w:rsid w:val="009807A3"/>
    <w:rsid w:val="009813A4"/>
    <w:rsid w:val="0098161D"/>
    <w:rsid w:val="00981ECB"/>
    <w:rsid w:val="00984162"/>
    <w:rsid w:val="009843E9"/>
    <w:rsid w:val="009854FE"/>
    <w:rsid w:val="00985C19"/>
    <w:rsid w:val="0099234F"/>
    <w:rsid w:val="00992375"/>
    <w:rsid w:val="00993593"/>
    <w:rsid w:val="009955D6"/>
    <w:rsid w:val="00996164"/>
    <w:rsid w:val="00997A4B"/>
    <w:rsid w:val="009A0006"/>
    <w:rsid w:val="009A7815"/>
    <w:rsid w:val="009B1EAB"/>
    <w:rsid w:val="009B4CB8"/>
    <w:rsid w:val="009B5AB9"/>
    <w:rsid w:val="009B747D"/>
    <w:rsid w:val="009C07B0"/>
    <w:rsid w:val="009C0D3F"/>
    <w:rsid w:val="009C1B37"/>
    <w:rsid w:val="009C50DC"/>
    <w:rsid w:val="009C6DCA"/>
    <w:rsid w:val="009C7C44"/>
    <w:rsid w:val="009D3109"/>
    <w:rsid w:val="009D6B2E"/>
    <w:rsid w:val="009E248D"/>
    <w:rsid w:val="009E27F8"/>
    <w:rsid w:val="009E529C"/>
    <w:rsid w:val="009E54FD"/>
    <w:rsid w:val="009E5F5F"/>
    <w:rsid w:val="009E6A4F"/>
    <w:rsid w:val="009E776C"/>
    <w:rsid w:val="009E7F8E"/>
    <w:rsid w:val="009F23F7"/>
    <w:rsid w:val="009F425D"/>
    <w:rsid w:val="00A00611"/>
    <w:rsid w:val="00A0159C"/>
    <w:rsid w:val="00A033C9"/>
    <w:rsid w:val="00A0735D"/>
    <w:rsid w:val="00A10F9E"/>
    <w:rsid w:val="00A112CA"/>
    <w:rsid w:val="00A11749"/>
    <w:rsid w:val="00A11C68"/>
    <w:rsid w:val="00A120D3"/>
    <w:rsid w:val="00A144CF"/>
    <w:rsid w:val="00A14C8B"/>
    <w:rsid w:val="00A154BE"/>
    <w:rsid w:val="00A17C44"/>
    <w:rsid w:val="00A2027E"/>
    <w:rsid w:val="00A205A2"/>
    <w:rsid w:val="00A20C0D"/>
    <w:rsid w:val="00A23DE5"/>
    <w:rsid w:val="00A2660B"/>
    <w:rsid w:val="00A268A7"/>
    <w:rsid w:val="00A30374"/>
    <w:rsid w:val="00A30859"/>
    <w:rsid w:val="00A35297"/>
    <w:rsid w:val="00A35B7C"/>
    <w:rsid w:val="00A36777"/>
    <w:rsid w:val="00A37A22"/>
    <w:rsid w:val="00A4319E"/>
    <w:rsid w:val="00A4498F"/>
    <w:rsid w:val="00A461DD"/>
    <w:rsid w:val="00A470A7"/>
    <w:rsid w:val="00A47534"/>
    <w:rsid w:val="00A47C27"/>
    <w:rsid w:val="00A500E3"/>
    <w:rsid w:val="00A52BFE"/>
    <w:rsid w:val="00A53905"/>
    <w:rsid w:val="00A53E87"/>
    <w:rsid w:val="00A553BB"/>
    <w:rsid w:val="00A55509"/>
    <w:rsid w:val="00A6012C"/>
    <w:rsid w:val="00A61AE8"/>
    <w:rsid w:val="00A63BE5"/>
    <w:rsid w:val="00A64C89"/>
    <w:rsid w:val="00A6769C"/>
    <w:rsid w:val="00A70A40"/>
    <w:rsid w:val="00A731E1"/>
    <w:rsid w:val="00A73517"/>
    <w:rsid w:val="00A7354E"/>
    <w:rsid w:val="00A73B9B"/>
    <w:rsid w:val="00A769CB"/>
    <w:rsid w:val="00A8457F"/>
    <w:rsid w:val="00A86D46"/>
    <w:rsid w:val="00A87A78"/>
    <w:rsid w:val="00A90EC6"/>
    <w:rsid w:val="00A94F32"/>
    <w:rsid w:val="00A9677E"/>
    <w:rsid w:val="00AA1113"/>
    <w:rsid w:val="00AA57B2"/>
    <w:rsid w:val="00AA5F4D"/>
    <w:rsid w:val="00AA757D"/>
    <w:rsid w:val="00AB084D"/>
    <w:rsid w:val="00AB0C32"/>
    <w:rsid w:val="00AB0FF3"/>
    <w:rsid w:val="00AB17D0"/>
    <w:rsid w:val="00AB1BDB"/>
    <w:rsid w:val="00AB30CB"/>
    <w:rsid w:val="00AB7F53"/>
    <w:rsid w:val="00AC2213"/>
    <w:rsid w:val="00AD030B"/>
    <w:rsid w:val="00AD1401"/>
    <w:rsid w:val="00AD1504"/>
    <w:rsid w:val="00AD1814"/>
    <w:rsid w:val="00AD213B"/>
    <w:rsid w:val="00AD35B9"/>
    <w:rsid w:val="00AD3A57"/>
    <w:rsid w:val="00AD59C1"/>
    <w:rsid w:val="00AD7C51"/>
    <w:rsid w:val="00AE1EB7"/>
    <w:rsid w:val="00AE2ED5"/>
    <w:rsid w:val="00AE5F45"/>
    <w:rsid w:val="00AE7C12"/>
    <w:rsid w:val="00AF12B4"/>
    <w:rsid w:val="00AF18D3"/>
    <w:rsid w:val="00AF2774"/>
    <w:rsid w:val="00AF5E77"/>
    <w:rsid w:val="00AF6354"/>
    <w:rsid w:val="00B00C49"/>
    <w:rsid w:val="00B01988"/>
    <w:rsid w:val="00B0233E"/>
    <w:rsid w:val="00B02B35"/>
    <w:rsid w:val="00B03B34"/>
    <w:rsid w:val="00B05992"/>
    <w:rsid w:val="00B069D5"/>
    <w:rsid w:val="00B147F1"/>
    <w:rsid w:val="00B225CC"/>
    <w:rsid w:val="00B22780"/>
    <w:rsid w:val="00B23E7A"/>
    <w:rsid w:val="00B2584F"/>
    <w:rsid w:val="00B26AE0"/>
    <w:rsid w:val="00B342C9"/>
    <w:rsid w:val="00B34541"/>
    <w:rsid w:val="00B352D4"/>
    <w:rsid w:val="00B356D6"/>
    <w:rsid w:val="00B362CE"/>
    <w:rsid w:val="00B42783"/>
    <w:rsid w:val="00B428C3"/>
    <w:rsid w:val="00B45A13"/>
    <w:rsid w:val="00B468CB"/>
    <w:rsid w:val="00B51F2A"/>
    <w:rsid w:val="00B52FB5"/>
    <w:rsid w:val="00B53529"/>
    <w:rsid w:val="00B54A2E"/>
    <w:rsid w:val="00B554DE"/>
    <w:rsid w:val="00B55D8E"/>
    <w:rsid w:val="00B575D7"/>
    <w:rsid w:val="00B57801"/>
    <w:rsid w:val="00B602C1"/>
    <w:rsid w:val="00B60678"/>
    <w:rsid w:val="00B62517"/>
    <w:rsid w:val="00B65F89"/>
    <w:rsid w:val="00B73839"/>
    <w:rsid w:val="00B74A43"/>
    <w:rsid w:val="00B766FC"/>
    <w:rsid w:val="00B774B1"/>
    <w:rsid w:val="00B80E77"/>
    <w:rsid w:val="00B839C0"/>
    <w:rsid w:val="00B840D6"/>
    <w:rsid w:val="00B84252"/>
    <w:rsid w:val="00B842BE"/>
    <w:rsid w:val="00B850D0"/>
    <w:rsid w:val="00B86396"/>
    <w:rsid w:val="00B87454"/>
    <w:rsid w:val="00B91227"/>
    <w:rsid w:val="00B91609"/>
    <w:rsid w:val="00B959ED"/>
    <w:rsid w:val="00B96EE6"/>
    <w:rsid w:val="00B97DDF"/>
    <w:rsid w:val="00BA0135"/>
    <w:rsid w:val="00BA14C4"/>
    <w:rsid w:val="00BA7389"/>
    <w:rsid w:val="00BB063F"/>
    <w:rsid w:val="00BB0D34"/>
    <w:rsid w:val="00BB4957"/>
    <w:rsid w:val="00BB4BEB"/>
    <w:rsid w:val="00BC18B7"/>
    <w:rsid w:val="00BC2877"/>
    <w:rsid w:val="00BC35C9"/>
    <w:rsid w:val="00BC36E3"/>
    <w:rsid w:val="00BD0A67"/>
    <w:rsid w:val="00BD10EF"/>
    <w:rsid w:val="00BD633F"/>
    <w:rsid w:val="00BD66F6"/>
    <w:rsid w:val="00BD6E42"/>
    <w:rsid w:val="00BE1B17"/>
    <w:rsid w:val="00BE2487"/>
    <w:rsid w:val="00BE3F9D"/>
    <w:rsid w:val="00BE4976"/>
    <w:rsid w:val="00BE7408"/>
    <w:rsid w:val="00BE7431"/>
    <w:rsid w:val="00BF1B1A"/>
    <w:rsid w:val="00BF1ED0"/>
    <w:rsid w:val="00BF2CB5"/>
    <w:rsid w:val="00BF388F"/>
    <w:rsid w:val="00BF59A9"/>
    <w:rsid w:val="00BF733A"/>
    <w:rsid w:val="00C021A1"/>
    <w:rsid w:val="00C06BCC"/>
    <w:rsid w:val="00C06D0E"/>
    <w:rsid w:val="00C073DA"/>
    <w:rsid w:val="00C132A2"/>
    <w:rsid w:val="00C173FB"/>
    <w:rsid w:val="00C24BB3"/>
    <w:rsid w:val="00C256D6"/>
    <w:rsid w:val="00C257DD"/>
    <w:rsid w:val="00C26B80"/>
    <w:rsid w:val="00C308B3"/>
    <w:rsid w:val="00C32851"/>
    <w:rsid w:val="00C34169"/>
    <w:rsid w:val="00C342FC"/>
    <w:rsid w:val="00C34D56"/>
    <w:rsid w:val="00C355AC"/>
    <w:rsid w:val="00C36C35"/>
    <w:rsid w:val="00C36CEA"/>
    <w:rsid w:val="00C40379"/>
    <w:rsid w:val="00C43729"/>
    <w:rsid w:val="00C464AB"/>
    <w:rsid w:val="00C46847"/>
    <w:rsid w:val="00C50015"/>
    <w:rsid w:val="00C51F6A"/>
    <w:rsid w:val="00C560BE"/>
    <w:rsid w:val="00C60992"/>
    <w:rsid w:val="00C61F67"/>
    <w:rsid w:val="00C62543"/>
    <w:rsid w:val="00C667E6"/>
    <w:rsid w:val="00C67C79"/>
    <w:rsid w:val="00C70D17"/>
    <w:rsid w:val="00C71692"/>
    <w:rsid w:val="00C71B99"/>
    <w:rsid w:val="00C779F4"/>
    <w:rsid w:val="00C77EBD"/>
    <w:rsid w:val="00C8066F"/>
    <w:rsid w:val="00C813F3"/>
    <w:rsid w:val="00C8149A"/>
    <w:rsid w:val="00C81759"/>
    <w:rsid w:val="00C81B2A"/>
    <w:rsid w:val="00C81F6B"/>
    <w:rsid w:val="00C84952"/>
    <w:rsid w:val="00C85063"/>
    <w:rsid w:val="00C86173"/>
    <w:rsid w:val="00C86854"/>
    <w:rsid w:val="00C87CF5"/>
    <w:rsid w:val="00C90175"/>
    <w:rsid w:val="00C92ACE"/>
    <w:rsid w:val="00C93829"/>
    <w:rsid w:val="00C93A17"/>
    <w:rsid w:val="00C93B15"/>
    <w:rsid w:val="00C93C1F"/>
    <w:rsid w:val="00C94D66"/>
    <w:rsid w:val="00C97F30"/>
    <w:rsid w:val="00CA2381"/>
    <w:rsid w:val="00CA4876"/>
    <w:rsid w:val="00CA7C09"/>
    <w:rsid w:val="00CB0EA4"/>
    <w:rsid w:val="00CB1A0F"/>
    <w:rsid w:val="00CB1BB9"/>
    <w:rsid w:val="00CB2F22"/>
    <w:rsid w:val="00CB6CFD"/>
    <w:rsid w:val="00CC014A"/>
    <w:rsid w:val="00CC037F"/>
    <w:rsid w:val="00CC2A62"/>
    <w:rsid w:val="00CC6142"/>
    <w:rsid w:val="00CD22FD"/>
    <w:rsid w:val="00CD529E"/>
    <w:rsid w:val="00CD58FA"/>
    <w:rsid w:val="00CD7340"/>
    <w:rsid w:val="00CE10C9"/>
    <w:rsid w:val="00CE5E9F"/>
    <w:rsid w:val="00CE5F52"/>
    <w:rsid w:val="00CE6247"/>
    <w:rsid w:val="00CE74A9"/>
    <w:rsid w:val="00CF0619"/>
    <w:rsid w:val="00CF0B39"/>
    <w:rsid w:val="00CF1EF8"/>
    <w:rsid w:val="00CF63BD"/>
    <w:rsid w:val="00CF6BB4"/>
    <w:rsid w:val="00CF7CC7"/>
    <w:rsid w:val="00D0170B"/>
    <w:rsid w:val="00D01DB2"/>
    <w:rsid w:val="00D01EFF"/>
    <w:rsid w:val="00D02CDD"/>
    <w:rsid w:val="00D03A5B"/>
    <w:rsid w:val="00D06C24"/>
    <w:rsid w:val="00D07412"/>
    <w:rsid w:val="00D07A16"/>
    <w:rsid w:val="00D11E58"/>
    <w:rsid w:val="00D1297E"/>
    <w:rsid w:val="00D143BB"/>
    <w:rsid w:val="00D14559"/>
    <w:rsid w:val="00D17AB7"/>
    <w:rsid w:val="00D207A0"/>
    <w:rsid w:val="00D21D97"/>
    <w:rsid w:val="00D226C3"/>
    <w:rsid w:val="00D248F7"/>
    <w:rsid w:val="00D254B7"/>
    <w:rsid w:val="00D3215B"/>
    <w:rsid w:val="00D3218C"/>
    <w:rsid w:val="00D35276"/>
    <w:rsid w:val="00D42C40"/>
    <w:rsid w:val="00D46CEA"/>
    <w:rsid w:val="00D47D97"/>
    <w:rsid w:val="00D515FD"/>
    <w:rsid w:val="00D526DC"/>
    <w:rsid w:val="00D52C98"/>
    <w:rsid w:val="00D53351"/>
    <w:rsid w:val="00D5408B"/>
    <w:rsid w:val="00D552E8"/>
    <w:rsid w:val="00D602E7"/>
    <w:rsid w:val="00D627B5"/>
    <w:rsid w:val="00D62FC4"/>
    <w:rsid w:val="00D649FF"/>
    <w:rsid w:val="00D659A4"/>
    <w:rsid w:val="00D71A6B"/>
    <w:rsid w:val="00D727EA"/>
    <w:rsid w:val="00D72E60"/>
    <w:rsid w:val="00D73C19"/>
    <w:rsid w:val="00D740B9"/>
    <w:rsid w:val="00D7530D"/>
    <w:rsid w:val="00D76BD8"/>
    <w:rsid w:val="00D8007F"/>
    <w:rsid w:val="00D82236"/>
    <w:rsid w:val="00D92E7A"/>
    <w:rsid w:val="00D94C00"/>
    <w:rsid w:val="00D97376"/>
    <w:rsid w:val="00DA1DDE"/>
    <w:rsid w:val="00DA3B8A"/>
    <w:rsid w:val="00DA3BEC"/>
    <w:rsid w:val="00DA45F1"/>
    <w:rsid w:val="00DA4B7F"/>
    <w:rsid w:val="00DA6725"/>
    <w:rsid w:val="00DA7BE0"/>
    <w:rsid w:val="00DB3A33"/>
    <w:rsid w:val="00DB3D10"/>
    <w:rsid w:val="00DB7BE9"/>
    <w:rsid w:val="00DC06B6"/>
    <w:rsid w:val="00DC529A"/>
    <w:rsid w:val="00DC56F0"/>
    <w:rsid w:val="00DC76A9"/>
    <w:rsid w:val="00DD054C"/>
    <w:rsid w:val="00DD2593"/>
    <w:rsid w:val="00DD293B"/>
    <w:rsid w:val="00DD3484"/>
    <w:rsid w:val="00DD3B3D"/>
    <w:rsid w:val="00DD5A9B"/>
    <w:rsid w:val="00DD5FEE"/>
    <w:rsid w:val="00DD6C11"/>
    <w:rsid w:val="00DE12C6"/>
    <w:rsid w:val="00DE166F"/>
    <w:rsid w:val="00DE18F2"/>
    <w:rsid w:val="00DE2289"/>
    <w:rsid w:val="00DE3ABE"/>
    <w:rsid w:val="00DE3AC8"/>
    <w:rsid w:val="00DE411C"/>
    <w:rsid w:val="00DE5893"/>
    <w:rsid w:val="00DE6FFF"/>
    <w:rsid w:val="00DE7DC7"/>
    <w:rsid w:val="00DF069A"/>
    <w:rsid w:val="00DF07BF"/>
    <w:rsid w:val="00DF4752"/>
    <w:rsid w:val="00DF5EBA"/>
    <w:rsid w:val="00DF62B6"/>
    <w:rsid w:val="00E015D6"/>
    <w:rsid w:val="00E01E94"/>
    <w:rsid w:val="00E01F3F"/>
    <w:rsid w:val="00E03AFE"/>
    <w:rsid w:val="00E04D93"/>
    <w:rsid w:val="00E054BF"/>
    <w:rsid w:val="00E1606E"/>
    <w:rsid w:val="00E179B7"/>
    <w:rsid w:val="00E202AF"/>
    <w:rsid w:val="00E216D7"/>
    <w:rsid w:val="00E23618"/>
    <w:rsid w:val="00E23AA5"/>
    <w:rsid w:val="00E23EAD"/>
    <w:rsid w:val="00E26D44"/>
    <w:rsid w:val="00E32E13"/>
    <w:rsid w:val="00E33703"/>
    <w:rsid w:val="00E35DD0"/>
    <w:rsid w:val="00E3680F"/>
    <w:rsid w:val="00E36888"/>
    <w:rsid w:val="00E37658"/>
    <w:rsid w:val="00E376FB"/>
    <w:rsid w:val="00E40C37"/>
    <w:rsid w:val="00E4251C"/>
    <w:rsid w:val="00E42628"/>
    <w:rsid w:val="00E4578E"/>
    <w:rsid w:val="00E45F46"/>
    <w:rsid w:val="00E46AE3"/>
    <w:rsid w:val="00E50262"/>
    <w:rsid w:val="00E50268"/>
    <w:rsid w:val="00E519CF"/>
    <w:rsid w:val="00E51AD1"/>
    <w:rsid w:val="00E530BA"/>
    <w:rsid w:val="00E53414"/>
    <w:rsid w:val="00E55A3A"/>
    <w:rsid w:val="00E5712C"/>
    <w:rsid w:val="00E608B9"/>
    <w:rsid w:val="00E63B8A"/>
    <w:rsid w:val="00E652F3"/>
    <w:rsid w:val="00E70EC0"/>
    <w:rsid w:val="00E7167F"/>
    <w:rsid w:val="00E81686"/>
    <w:rsid w:val="00E832F2"/>
    <w:rsid w:val="00E84A1B"/>
    <w:rsid w:val="00E86604"/>
    <w:rsid w:val="00E87E70"/>
    <w:rsid w:val="00E92C18"/>
    <w:rsid w:val="00E9477B"/>
    <w:rsid w:val="00E95BE5"/>
    <w:rsid w:val="00E975BA"/>
    <w:rsid w:val="00EA0D07"/>
    <w:rsid w:val="00EA1D1D"/>
    <w:rsid w:val="00EB4061"/>
    <w:rsid w:val="00EB583E"/>
    <w:rsid w:val="00EC099D"/>
    <w:rsid w:val="00EC1E4F"/>
    <w:rsid w:val="00EC5497"/>
    <w:rsid w:val="00EC6136"/>
    <w:rsid w:val="00EC6365"/>
    <w:rsid w:val="00EC70C4"/>
    <w:rsid w:val="00ED38C4"/>
    <w:rsid w:val="00ED5A4E"/>
    <w:rsid w:val="00ED61BD"/>
    <w:rsid w:val="00ED764F"/>
    <w:rsid w:val="00EE072A"/>
    <w:rsid w:val="00EE34C7"/>
    <w:rsid w:val="00EE6B0C"/>
    <w:rsid w:val="00EF005F"/>
    <w:rsid w:val="00EF4EAE"/>
    <w:rsid w:val="00EF7B9B"/>
    <w:rsid w:val="00F02506"/>
    <w:rsid w:val="00F02FF2"/>
    <w:rsid w:val="00F065CE"/>
    <w:rsid w:val="00F1102C"/>
    <w:rsid w:val="00F11C3C"/>
    <w:rsid w:val="00F1209F"/>
    <w:rsid w:val="00F12B82"/>
    <w:rsid w:val="00F1535B"/>
    <w:rsid w:val="00F15DC0"/>
    <w:rsid w:val="00F16589"/>
    <w:rsid w:val="00F169BB"/>
    <w:rsid w:val="00F17ADC"/>
    <w:rsid w:val="00F220F8"/>
    <w:rsid w:val="00F24C7B"/>
    <w:rsid w:val="00F259DE"/>
    <w:rsid w:val="00F26326"/>
    <w:rsid w:val="00F26EB8"/>
    <w:rsid w:val="00F27A82"/>
    <w:rsid w:val="00F308B7"/>
    <w:rsid w:val="00F3260B"/>
    <w:rsid w:val="00F3309B"/>
    <w:rsid w:val="00F33320"/>
    <w:rsid w:val="00F33451"/>
    <w:rsid w:val="00F420ED"/>
    <w:rsid w:val="00F46E98"/>
    <w:rsid w:val="00F4771D"/>
    <w:rsid w:val="00F513D8"/>
    <w:rsid w:val="00F530CB"/>
    <w:rsid w:val="00F54B2B"/>
    <w:rsid w:val="00F54DB1"/>
    <w:rsid w:val="00F55771"/>
    <w:rsid w:val="00F55BF1"/>
    <w:rsid w:val="00F61B90"/>
    <w:rsid w:val="00F62BF6"/>
    <w:rsid w:val="00F66658"/>
    <w:rsid w:val="00F70470"/>
    <w:rsid w:val="00F70B10"/>
    <w:rsid w:val="00F721F2"/>
    <w:rsid w:val="00F72960"/>
    <w:rsid w:val="00F72B13"/>
    <w:rsid w:val="00F73E18"/>
    <w:rsid w:val="00F83356"/>
    <w:rsid w:val="00F86E52"/>
    <w:rsid w:val="00F90AD9"/>
    <w:rsid w:val="00F91885"/>
    <w:rsid w:val="00F9363E"/>
    <w:rsid w:val="00F95063"/>
    <w:rsid w:val="00F96625"/>
    <w:rsid w:val="00FA064C"/>
    <w:rsid w:val="00FA488A"/>
    <w:rsid w:val="00FA54B8"/>
    <w:rsid w:val="00FA57DA"/>
    <w:rsid w:val="00FA5A66"/>
    <w:rsid w:val="00FB1AA4"/>
    <w:rsid w:val="00FB47D5"/>
    <w:rsid w:val="00FB6FD7"/>
    <w:rsid w:val="00FB7C25"/>
    <w:rsid w:val="00FC0DD9"/>
    <w:rsid w:val="00FC285D"/>
    <w:rsid w:val="00FC2E14"/>
    <w:rsid w:val="00FC392E"/>
    <w:rsid w:val="00FD1DD3"/>
    <w:rsid w:val="00FD2F5E"/>
    <w:rsid w:val="00FD30B3"/>
    <w:rsid w:val="00FD35BD"/>
    <w:rsid w:val="00FD7193"/>
    <w:rsid w:val="00FD745D"/>
    <w:rsid w:val="00FE0323"/>
    <w:rsid w:val="00FE0877"/>
    <w:rsid w:val="00FE089D"/>
    <w:rsid w:val="00FE0D40"/>
    <w:rsid w:val="00FE1F4A"/>
    <w:rsid w:val="00FF007A"/>
    <w:rsid w:val="00FF1179"/>
    <w:rsid w:val="00FF3C19"/>
    <w:rsid w:val="00FF53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4A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122A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2AE6"/>
    <w:pPr>
      <w:keepNext/>
      <w:keepLines/>
      <w:spacing w:after="120" w:line="360" w:lineRule="auto"/>
      <w:outlineLvl w:val="1"/>
    </w:pPr>
    <w:rPr>
      <w:rFonts w:ascii="Times" w:eastAsiaTheme="majorEastAsia" w:hAnsi="Times" w:cs="Times"/>
      <w:b/>
      <w:bCs/>
      <w:i/>
      <w:sz w:val="26"/>
      <w:szCs w:val="26"/>
    </w:rPr>
  </w:style>
  <w:style w:type="paragraph" w:styleId="Heading3">
    <w:name w:val="heading 3"/>
    <w:basedOn w:val="Normal"/>
    <w:next w:val="Normal"/>
    <w:link w:val="Heading3Char"/>
    <w:uiPriority w:val="9"/>
    <w:unhideWhenUsed/>
    <w:qFormat/>
    <w:rsid w:val="00A144CF"/>
    <w:pPr>
      <w:keepNext/>
      <w:keepLines/>
      <w:spacing w:after="120" w:line="360" w:lineRule="auto"/>
      <w:outlineLvl w:val="2"/>
    </w:pPr>
    <w:rPr>
      <w:rFonts w:ascii="Times" w:eastAsiaTheme="majorEastAsia" w:hAnsi="Times" w:cstheme="majorBidi"/>
      <w:b/>
      <w:bCs/>
      <w:color w:val="4F81BD" w:themeColor="accent1"/>
    </w:rPr>
  </w:style>
  <w:style w:type="paragraph" w:styleId="Heading4">
    <w:name w:val="heading 4"/>
    <w:basedOn w:val="Normal"/>
    <w:next w:val="Normal"/>
    <w:link w:val="Heading4Char"/>
    <w:uiPriority w:val="9"/>
    <w:unhideWhenUsed/>
    <w:qFormat/>
    <w:rsid w:val="0020149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D35B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41"/>
    <w:rPr>
      <w:color w:val="0000FF" w:themeColor="hyperlink"/>
      <w:u w:val="single"/>
    </w:rPr>
  </w:style>
  <w:style w:type="character" w:customStyle="1" w:styleId="Heading1Char">
    <w:name w:val="Heading 1 Char"/>
    <w:basedOn w:val="DefaultParagraphFont"/>
    <w:link w:val="Heading1"/>
    <w:uiPriority w:val="9"/>
    <w:rsid w:val="00122A41"/>
    <w:rPr>
      <w:rFonts w:asciiTheme="majorHAnsi" w:eastAsiaTheme="majorEastAsia" w:hAnsiTheme="majorHAnsi" w:cstheme="majorBidi"/>
      <w:b/>
      <w:bCs/>
      <w:color w:val="345A8A" w:themeColor="accent1" w:themeShade="B5"/>
      <w:sz w:val="32"/>
      <w:szCs w:val="32"/>
      <w:lang w:val="en-CA"/>
    </w:rPr>
  </w:style>
  <w:style w:type="paragraph" w:styleId="TOCHeading">
    <w:name w:val="TOC Heading"/>
    <w:basedOn w:val="Heading1"/>
    <w:next w:val="Normal"/>
    <w:uiPriority w:val="39"/>
    <w:unhideWhenUsed/>
    <w:qFormat/>
    <w:rsid w:val="00122A41"/>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122A41"/>
    <w:rPr>
      <w:rFonts w:ascii="Lucida Grande" w:hAnsi="Lucida Grande"/>
      <w:sz w:val="18"/>
      <w:szCs w:val="18"/>
    </w:rPr>
  </w:style>
  <w:style w:type="character" w:customStyle="1" w:styleId="BalloonTextChar">
    <w:name w:val="Balloon Text Char"/>
    <w:basedOn w:val="DefaultParagraphFont"/>
    <w:link w:val="BalloonText"/>
    <w:uiPriority w:val="99"/>
    <w:semiHidden/>
    <w:rsid w:val="00122A41"/>
    <w:rPr>
      <w:rFonts w:ascii="Lucida Grande" w:hAnsi="Lucida Grande"/>
      <w:sz w:val="18"/>
      <w:szCs w:val="18"/>
      <w:lang w:val="en-CA"/>
    </w:rPr>
  </w:style>
  <w:style w:type="paragraph" w:styleId="TOC1">
    <w:name w:val="toc 1"/>
    <w:basedOn w:val="Normal"/>
    <w:next w:val="Normal"/>
    <w:autoRedefine/>
    <w:uiPriority w:val="39"/>
    <w:unhideWhenUsed/>
    <w:rsid w:val="00122A41"/>
    <w:pPr>
      <w:spacing w:before="120"/>
    </w:pPr>
    <w:rPr>
      <w:b/>
      <w:caps/>
      <w:sz w:val="22"/>
      <w:szCs w:val="22"/>
    </w:rPr>
  </w:style>
  <w:style w:type="paragraph" w:styleId="TOC2">
    <w:name w:val="toc 2"/>
    <w:basedOn w:val="Normal"/>
    <w:next w:val="Normal"/>
    <w:autoRedefine/>
    <w:uiPriority w:val="39"/>
    <w:unhideWhenUsed/>
    <w:rsid w:val="00122A41"/>
    <w:pPr>
      <w:ind w:left="240"/>
    </w:pPr>
    <w:rPr>
      <w:smallCaps/>
      <w:sz w:val="22"/>
      <w:szCs w:val="22"/>
    </w:rPr>
  </w:style>
  <w:style w:type="paragraph" w:styleId="TOC3">
    <w:name w:val="toc 3"/>
    <w:basedOn w:val="Normal"/>
    <w:next w:val="Normal"/>
    <w:autoRedefine/>
    <w:uiPriority w:val="39"/>
    <w:unhideWhenUsed/>
    <w:rsid w:val="00122A41"/>
    <w:pPr>
      <w:ind w:left="480"/>
    </w:pPr>
    <w:rPr>
      <w:i/>
      <w:sz w:val="22"/>
      <w:szCs w:val="22"/>
    </w:rPr>
  </w:style>
  <w:style w:type="paragraph" w:styleId="TOC4">
    <w:name w:val="toc 4"/>
    <w:basedOn w:val="Normal"/>
    <w:next w:val="Normal"/>
    <w:autoRedefine/>
    <w:uiPriority w:val="39"/>
    <w:unhideWhenUsed/>
    <w:rsid w:val="00122A41"/>
    <w:pPr>
      <w:ind w:left="720"/>
    </w:pPr>
    <w:rPr>
      <w:sz w:val="18"/>
      <w:szCs w:val="18"/>
    </w:rPr>
  </w:style>
  <w:style w:type="paragraph" w:styleId="TOC5">
    <w:name w:val="toc 5"/>
    <w:basedOn w:val="Normal"/>
    <w:next w:val="Normal"/>
    <w:autoRedefine/>
    <w:uiPriority w:val="39"/>
    <w:unhideWhenUsed/>
    <w:rsid w:val="00122A41"/>
    <w:pPr>
      <w:ind w:left="960"/>
    </w:pPr>
    <w:rPr>
      <w:sz w:val="18"/>
      <w:szCs w:val="18"/>
    </w:rPr>
  </w:style>
  <w:style w:type="paragraph" w:styleId="TOC6">
    <w:name w:val="toc 6"/>
    <w:basedOn w:val="Normal"/>
    <w:next w:val="Normal"/>
    <w:autoRedefine/>
    <w:uiPriority w:val="39"/>
    <w:unhideWhenUsed/>
    <w:rsid w:val="00122A41"/>
    <w:pPr>
      <w:ind w:left="1200"/>
    </w:pPr>
    <w:rPr>
      <w:sz w:val="18"/>
      <w:szCs w:val="18"/>
    </w:rPr>
  </w:style>
  <w:style w:type="paragraph" w:styleId="TOC7">
    <w:name w:val="toc 7"/>
    <w:basedOn w:val="Normal"/>
    <w:next w:val="Normal"/>
    <w:autoRedefine/>
    <w:uiPriority w:val="39"/>
    <w:unhideWhenUsed/>
    <w:rsid w:val="00122A41"/>
    <w:pPr>
      <w:ind w:left="1440"/>
    </w:pPr>
    <w:rPr>
      <w:sz w:val="18"/>
      <w:szCs w:val="18"/>
    </w:rPr>
  </w:style>
  <w:style w:type="paragraph" w:styleId="TOC8">
    <w:name w:val="toc 8"/>
    <w:basedOn w:val="Normal"/>
    <w:next w:val="Normal"/>
    <w:autoRedefine/>
    <w:uiPriority w:val="39"/>
    <w:unhideWhenUsed/>
    <w:rsid w:val="00122A41"/>
    <w:pPr>
      <w:ind w:left="1680"/>
    </w:pPr>
    <w:rPr>
      <w:sz w:val="18"/>
      <w:szCs w:val="18"/>
    </w:rPr>
  </w:style>
  <w:style w:type="paragraph" w:styleId="TOC9">
    <w:name w:val="toc 9"/>
    <w:basedOn w:val="Normal"/>
    <w:next w:val="Normal"/>
    <w:autoRedefine/>
    <w:uiPriority w:val="39"/>
    <w:unhideWhenUsed/>
    <w:rsid w:val="00122A41"/>
    <w:pPr>
      <w:ind w:left="1920"/>
    </w:pPr>
    <w:rPr>
      <w:sz w:val="18"/>
      <w:szCs w:val="18"/>
    </w:rPr>
  </w:style>
  <w:style w:type="paragraph" w:styleId="ListParagraph">
    <w:name w:val="List Paragraph"/>
    <w:basedOn w:val="Normal"/>
    <w:uiPriority w:val="34"/>
    <w:qFormat/>
    <w:rsid w:val="00122A41"/>
    <w:pPr>
      <w:ind w:left="720"/>
      <w:contextualSpacing/>
    </w:pPr>
  </w:style>
  <w:style w:type="paragraph" w:styleId="Subtitle">
    <w:name w:val="Subtitle"/>
    <w:basedOn w:val="Normal"/>
    <w:next w:val="Normal"/>
    <w:link w:val="SubtitleChar"/>
    <w:uiPriority w:val="11"/>
    <w:qFormat/>
    <w:rsid w:val="004673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73EE"/>
    <w:rPr>
      <w:rFonts w:asciiTheme="majorHAnsi" w:eastAsiaTheme="majorEastAsia" w:hAnsiTheme="majorHAnsi" w:cstheme="majorBidi"/>
      <w:i/>
      <w:iCs/>
      <w:color w:val="4F81BD" w:themeColor="accent1"/>
      <w:spacing w:val="15"/>
      <w:lang w:val="en-CA"/>
    </w:rPr>
  </w:style>
  <w:style w:type="character" w:styleId="SubtleEmphasis">
    <w:name w:val="Subtle Emphasis"/>
    <w:basedOn w:val="DefaultParagraphFont"/>
    <w:uiPriority w:val="19"/>
    <w:qFormat/>
    <w:rsid w:val="004673EE"/>
    <w:rPr>
      <w:i/>
      <w:iCs/>
      <w:color w:val="808080" w:themeColor="text1" w:themeTint="7F"/>
    </w:rPr>
  </w:style>
  <w:style w:type="character" w:customStyle="1" w:styleId="Heading2Char">
    <w:name w:val="Heading 2 Char"/>
    <w:basedOn w:val="DefaultParagraphFont"/>
    <w:link w:val="Heading2"/>
    <w:uiPriority w:val="9"/>
    <w:rsid w:val="004D2AE6"/>
    <w:rPr>
      <w:rFonts w:ascii="Times" w:eastAsiaTheme="majorEastAsia" w:hAnsi="Times" w:cs="Times"/>
      <w:b/>
      <w:bCs/>
      <w:i/>
      <w:sz w:val="26"/>
      <w:szCs w:val="26"/>
      <w:lang w:val="en-CA"/>
    </w:rPr>
  </w:style>
  <w:style w:type="character" w:styleId="IntenseEmphasis">
    <w:name w:val="Intense Emphasis"/>
    <w:basedOn w:val="DefaultParagraphFont"/>
    <w:uiPriority w:val="21"/>
    <w:qFormat/>
    <w:rsid w:val="00E63B8A"/>
    <w:rPr>
      <w:b/>
      <w:bCs/>
    </w:rPr>
  </w:style>
  <w:style w:type="character" w:customStyle="1" w:styleId="Heading3Char">
    <w:name w:val="Heading 3 Char"/>
    <w:basedOn w:val="DefaultParagraphFont"/>
    <w:link w:val="Heading3"/>
    <w:uiPriority w:val="9"/>
    <w:rsid w:val="00A144CF"/>
    <w:rPr>
      <w:rFonts w:ascii="Times" w:eastAsiaTheme="majorEastAsia" w:hAnsi="Times" w:cstheme="majorBidi"/>
      <w:b/>
      <w:bCs/>
      <w:color w:val="4F81BD" w:themeColor="accent1"/>
      <w:lang w:val="en-CA"/>
    </w:rPr>
  </w:style>
  <w:style w:type="paragraph" w:styleId="Footer">
    <w:name w:val="footer"/>
    <w:basedOn w:val="Normal"/>
    <w:link w:val="FooterChar"/>
    <w:uiPriority w:val="99"/>
    <w:unhideWhenUsed/>
    <w:rsid w:val="00E63B8A"/>
    <w:pPr>
      <w:tabs>
        <w:tab w:val="center" w:pos="4320"/>
        <w:tab w:val="right" w:pos="8640"/>
      </w:tabs>
    </w:pPr>
  </w:style>
  <w:style w:type="character" w:customStyle="1" w:styleId="FooterChar">
    <w:name w:val="Footer Char"/>
    <w:basedOn w:val="DefaultParagraphFont"/>
    <w:link w:val="Footer"/>
    <w:uiPriority w:val="99"/>
    <w:rsid w:val="00E63B8A"/>
    <w:rPr>
      <w:lang w:val="en-CA"/>
    </w:rPr>
  </w:style>
  <w:style w:type="character" w:styleId="PageNumber">
    <w:name w:val="page number"/>
    <w:basedOn w:val="DefaultParagraphFont"/>
    <w:uiPriority w:val="99"/>
    <w:semiHidden/>
    <w:unhideWhenUsed/>
    <w:rsid w:val="00E63B8A"/>
  </w:style>
  <w:style w:type="paragraph" w:customStyle="1" w:styleId="paragraphe">
    <w:name w:val="paragraphe"/>
    <w:basedOn w:val="Normal"/>
    <w:rsid w:val="00816122"/>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BF1ED0"/>
  </w:style>
  <w:style w:type="character" w:customStyle="1" w:styleId="FootnoteTextChar">
    <w:name w:val="Footnote Text Char"/>
    <w:basedOn w:val="DefaultParagraphFont"/>
    <w:link w:val="FootnoteText"/>
    <w:uiPriority w:val="99"/>
    <w:rsid w:val="00BF1ED0"/>
    <w:rPr>
      <w:lang w:val="en-CA"/>
    </w:rPr>
  </w:style>
  <w:style w:type="character" w:styleId="FootnoteReference">
    <w:name w:val="footnote reference"/>
    <w:basedOn w:val="DefaultParagraphFont"/>
    <w:uiPriority w:val="99"/>
    <w:unhideWhenUsed/>
    <w:rsid w:val="00BF1ED0"/>
    <w:rPr>
      <w:vertAlign w:val="superscript"/>
    </w:rPr>
  </w:style>
  <w:style w:type="character" w:styleId="CommentReference">
    <w:name w:val="annotation reference"/>
    <w:basedOn w:val="DefaultParagraphFont"/>
    <w:uiPriority w:val="99"/>
    <w:semiHidden/>
    <w:unhideWhenUsed/>
    <w:rsid w:val="00235A85"/>
    <w:rPr>
      <w:sz w:val="18"/>
      <w:szCs w:val="18"/>
    </w:rPr>
  </w:style>
  <w:style w:type="paragraph" w:styleId="CommentText">
    <w:name w:val="annotation text"/>
    <w:basedOn w:val="Normal"/>
    <w:link w:val="CommentTextChar"/>
    <w:uiPriority w:val="99"/>
    <w:semiHidden/>
    <w:unhideWhenUsed/>
    <w:rsid w:val="00235A85"/>
  </w:style>
  <w:style w:type="character" w:customStyle="1" w:styleId="CommentTextChar">
    <w:name w:val="Comment Text Char"/>
    <w:basedOn w:val="DefaultParagraphFont"/>
    <w:link w:val="CommentText"/>
    <w:uiPriority w:val="99"/>
    <w:semiHidden/>
    <w:rsid w:val="00235A85"/>
    <w:rPr>
      <w:lang w:val="en-CA"/>
    </w:rPr>
  </w:style>
  <w:style w:type="paragraph" w:styleId="CommentSubject">
    <w:name w:val="annotation subject"/>
    <w:basedOn w:val="CommentText"/>
    <w:next w:val="CommentText"/>
    <w:link w:val="CommentSubjectChar"/>
    <w:uiPriority w:val="99"/>
    <w:semiHidden/>
    <w:unhideWhenUsed/>
    <w:rsid w:val="00235A85"/>
    <w:rPr>
      <w:b/>
      <w:bCs/>
      <w:sz w:val="20"/>
      <w:szCs w:val="20"/>
    </w:rPr>
  </w:style>
  <w:style w:type="character" w:customStyle="1" w:styleId="CommentSubjectChar">
    <w:name w:val="Comment Subject Char"/>
    <w:basedOn w:val="CommentTextChar"/>
    <w:link w:val="CommentSubject"/>
    <w:uiPriority w:val="99"/>
    <w:semiHidden/>
    <w:rsid w:val="00235A85"/>
    <w:rPr>
      <w:b/>
      <w:bCs/>
      <w:sz w:val="20"/>
      <w:szCs w:val="20"/>
      <w:lang w:val="en-CA"/>
    </w:rPr>
  </w:style>
  <w:style w:type="paragraph" w:customStyle="1" w:styleId="definition">
    <w:name w:val="definition"/>
    <w:basedOn w:val="Normal"/>
    <w:rsid w:val="00BB063F"/>
    <w:pPr>
      <w:spacing w:before="100" w:beforeAutospacing="1" w:after="100" w:afterAutospacing="1"/>
    </w:pPr>
    <w:rPr>
      <w:rFonts w:ascii="Times" w:hAnsi="Times"/>
      <w:sz w:val="20"/>
      <w:szCs w:val="20"/>
    </w:rPr>
  </w:style>
  <w:style w:type="paragraph" w:customStyle="1" w:styleId="paragraph">
    <w:name w:val="paragraph"/>
    <w:basedOn w:val="Normal"/>
    <w:rsid w:val="00BB063F"/>
    <w:pPr>
      <w:spacing w:before="100" w:beforeAutospacing="1" w:after="100" w:afterAutospacing="1"/>
    </w:pPr>
    <w:rPr>
      <w:rFonts w:ascii="Times" w:hAnsi="Times"/>
      <w:sz w:val="20"/>
      <w:szCs w:val="20"/>
    </w:rPr>
  </w:style>
  <w:style w:type="character" w:customStyle="1" w:styleId="lawlabel">
    <w:name w:val="lawlabel"/>
    <w:basedOn w:val="DefaultParagraphFont"/>
    <w:rsid w:val="00BB063F"/>
  </w:style>
  <w:style w:type="character" w:styleId="HTMLCite">
    <w:name w:val="HTML Cite"/>
    <w:basedOn w:val="DefaultParagraphFont"/>
    <w:uiPriority w:val="99"/>
    <w:semiHidden/>
    <w:unhideWhenUsed/>
    <w:rsid w:val="00BB063F"/>
    <w:rPr>
      <w:i/>
      <w:iCs/>
    </w:rPr>
  </w:style>
  <w:style w:type="paragraph" w:customStyle="1" w:styleId="subparagraph">
    <w:name w:val="subparagraph"/>
    <w:basedOn w:val="Normal"/>
    <w:rsid w:val="00BB063F"/>
    <w:pPr>
      <w:spacing w:before="100" w:beforeAutospacing="1" w:after="100" w:afterAutospacing="1"/>
    </w:pPr>
    <w:rPr>
      <w:rFonts w:ascii="Times" w:hAnsi="Times"/>
      <w:sz w:val="20"/>
      <w:szCs w:val="20"/>
    </w:rPr>
  </w:style>
  <w:style w:type="paragraph" w:customStyle="1" w:styleId="continuedparagraph">
    <w:name w:val="continuedparagraph"/>
    <w:basedOn w:val="Normal"/>
    <w:rsid w:val="00BB063F"/>
    <w:pPr>
      <w:spacing w:before="100" w:beforeAutospacing="1" w:after="100" w:afterAutospacing="1"/>
    </w:pPr>
    <w:rPr>
      <w:rFonts w:ascii="Times" w:hAnsi="Times"/>
      <w:sz w:val="20"/>
      <w:szCs w:val="20"/>
    </w:rPr>
  </w:style>
  <w:style w:type="character" w:customStyle="1" w:styleId="definedtermlink">
    <w:name w:val="definedtermlink"/>
    <w:basedOn w:val="DefaultParagraphFont"/>
    <w:rsid w:val="00BB063F"/>
  </w:style>
  <w:style w:type="character" w:customStyle="1" w:styleId="solexhl">
    <w:name w:val="solexhl"/>
    <w:basedOn w:val="DefaultParagraphFont"/>
    <w:rsid w:val="003E15BC"/>
  </w:style>
  <w:style w:type="character" w:customStyle="1" w:styleId="reflex3-block">
    <w:name w:val="reflex3-block"/>
    <w:basedOn w:val="DefaultParagraphFont"/>
    <w:rsid w:val="003E15BC"/>
  </w:style>
  <w:style w:type="character" w:customStyle="1" w:styleId="reflex3-alt">
    <w:name w:val="reflex3-alt"/>
    <w:basedOn w:val="DefaultParagraphFont"/>
    <w:rsid w:val="003E15BC"/>
  </w:style>
  <w:style w:type="paragraph" w:styleId="NormalWeb">
    <w:name w:val="Normal (Web)"/>
    <w:basedOn w:val="Normal"/>
    <w:uiPriority w:val="99"/>
    <w:semiHidden/>
    <w:unhideWhenUsed/>
    <w:rsid w:val="00792A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92AF9"/>
  </w:style>
  <w:style w:type="character" w:styleId="Strong">
    <w:name w:val="Strong"/>
    <w:basedOn w:val="DefaultParagraphFont"/>
    <w:uiPriority w:val="22"/>
    <w:qFormat/>
    <w:rsid w:val="00792AF9"/>
    <w:rPr>
      <w:b/>
      <w:bCs/>
    </w:rPr>
  </w:style>
  <w:style w:type="character" w:customStyle="1" w:styleId="FootnoteCharacters">
    <w:name w:val="Footnote Characters"/>
    <w:basedOn w:val="DefaultParagraphFont"/>
    <w:rsid w:val="008F50DF"/>
    <w:rPr>
      <w:vertAlign w:val="superscript"/>
    </w:rPr>
  </w:style>
  <w:style w:type="character" w:customStyle="1" w:styleId="documentbody">
    <w:name w:val="documentbody"/>
    <w:basedOn w:val="DefaultParagraphFont"/>
    <w:rsid w:val="00EE072A"/>
  </w:style>
  <w:style w:type="character" w:customStyle="1" w:styleId="Heading4Char">
    <w:name w:val="Heading 4 Char"/>
    <w:basedOn w:val="DefaultParagraphFont"/>
    <w:link w:val="Heading4"/>
    <w:uiPriority w:val="9"/>
    <w:rsid w:val="00201493"/>
    <w:rPr>
      <w:rFonts w:asciiTheme="majorHAnsi" w:eastAsiaTheme="majorEastAsia" w:hAnsiTheme="majorHAnsi" w:cstheme="majorBidi"/>
      <w:i/>
      <w:iCs/>
      <w:color w:val="365F91" w:themeColor="accent1" w:themeShade="BF"/>
      <w:lang w:val="en-CA"/>
    </w:rPr>
  </w:style>
  <w:style w:type="paragraph" w:customStyle="1" w:styleId="ParaLevel1">
    <w:name w:val="ParaLevel1"/>
    <w:basedOn w:val="Normal"/>
    <w:link w:val="ParaLevel1Char"/>
    <w:rsid w:val="005F2896"/>
    <w:pPr>
      <w:tabs>
        <w:tab w:val="left" w:pos="1440"/>
      </w:tabs>
      <w:suppressAutoHyphens/>
      <w:spacing w:before="480" w:line="480" w:lineRule="auto"/>
      <w:jc w:val="both"/>
    </w:pPr>
    <w:rPr>
      <w:rFonts w:ascii="Arial" w:eastAsia="Times New Roman" w:hAnsi="Arial" w:cs="Times New Roman"/>
      <w:szCs w:val="20"/>
      <w:lang w:eastAsia="ar-SA"/>
    </w:rPr>
  </w:style>
  <w:style w:type="paragraph" w:customStyle="1" w:styleId="clause">
    <w:name w:val="clause"/>
    <w:basedOn w:val="Normal"/>
    <w:rsid w:val="005F2896"/>
    <w:pPr>
      <w:suppressAutoHyphens/>
      <w:spacing w:before="280" w:after="280"/>
      <w:ind w:left="1008"/>
    </w:pPr>
    <w:rPr>
      <w:rFonts w:ascii="Times New Roman" w:eastAsia="Times New Roman" w:hAnsi="Times New Roman" w:cs="Times New Roman"/>
      <w:lang w:eastAsia="ar-SA"/>
    </w:rPr>
  </w:style>
  <w:style w:type="character" w:customStyle="1" w:styleId="ParaLevel1Char">
    <w:name w:val="ParaLevel1 Char"/>
    <w:basedOn w:val="DefaultParagraphFont"/>
    <w:link w:val="ParaLevel1"/>
    <w:locked/>
    <w:rsid w:val="005F2896"/>
    <w:rPr>
      <w:rFonts w:ascii="Arial" w:eastAsia="Times New Roman" w:hAnsi="Arial" w:cs="Times New Roman"/>
      <w:szCs w:val="20"/>
      <w:lang w:val="en-CA" w:eastAsia="ar-SA"/>
    </w:rPr>
  </w:style>
  <w:style w:type="paragraph" w:customStyle="1" w:styleId="subsection">
    <w:name w:val="subsection"/>
    <w:basedOn w:val="Normal"/>
    <w:rsid w:val="00267CC5"/>
    <w:pPr>
      <w:spacing w:before="100" w:beforeAutospacing="1" w:after="100" w:afterAutospacing="1"/>
    </w:pPr>
    <w:rPr>
      <w:rFonts w:ascii="Times New Roman" w:eastAsia="Times New Roman" w:hAnsi="Times New Roman" w:cs="Times New Roman"/>
      <w:lang w:eastAsia="en-CA"/>
    </w:rPr>
  </w:style>
  <w:style w:type="character" w:customStyle="1" w:styleId="sectionlabel">
    <w:name w:val="sectionlabel"/>
    <w:basedOn w:val="DefaultParagraphFont"/>
    <w:rsid w:val="00267CC5"/>
  </w:style>
  <w:style w:type="character" w:customStyle="1" w:styleId="canliisectionwithsubsection">
    <w:name w:val="canlii_section_with_subsection"/>
    <w:basedOn w:val="DefaultParagraphFont"/>
    <w:rsid w:val="00267CC5"/>
  </w:style>
  <w:style w:type="character" w:customStyle="1" w:styleId="UnresolvedMention1">
    <w:name w:val="Unresolved Mention1"/>
    <w:basedOn w:val="DefaultParagraphFont"/>
    <w:uiPriority w:val="99"/>
    <w:semiHidden/>
    <w:unhideWhenUsed/>
    <w:rsid w:val="007F4479"/>
    <w:rPr>
      <w:color w:val="605E5C"/>
      <w:shd w:val="clear" w:color="auto" w:fill="E1DFDD"/>
    </w:rPr>
  </w:style>
  <w:style w:type="character" w:customStyle="1" w:styleId="wb-invisible">
    <w:name w:val="wb-invisible"/>
    <w:basedOn w:val="DefaultParagraphFont"/>
    <w:rsid w:val="00FF007A"/>
  </w:style>
  <w:style w:type="character" w:customStyle="1" w:styleId="Heading5Char">
    <w:name w:val="Heading 5 Char"/>
    <w:basedOn w:val="DefaultParagraphFont"/>
    <w:link w:val="Heading5"/>
    <w:uiPriority w:val="9"/>
    <w:rsid w:val="00AD35B9"/>
    <w:rPr>
      <w:rFonts w:asciiTheme="majorHAnsi" w:eastAsiaTheme="majorEastAsia" w:hAnsiTheme="majorHAnsi" w:cstheme="majorBidi"/>
      <w:color w:val="365F91" w:themeColor="accent1" w:themeShade="BF"/>
      <w:lang w:val="en-CA"/>
    </w:rPr>
  </w:style>
  <w:style w:type="character" w:styleId="Emphasis">
    <w:name w:val="Emphasis"/>
    <w:basedOn w:val="DefaultParagraphFont"/>
    <w:uiPriority w:val="20"/>
    <w:qFormat/>
    <w:rsid w:val="00BF388F"/>
    <w:rPr>
      <w:i/>
      <w:iCs/>
    </w:rPr>
  </w:style>
  <w:style w:type="character" w:customStyle="1" w:styleId="UnresolvedMention2">
    <w:name w:val="Unresolved Mention2"/>
    <w:basedOn w:val="DefaultParagraphFont"/>
    <w:uiPriority w:val="99"/>
    <w:semiHidden/>
    <w:unhideWhenUsed/>
    <w:rsid w:val="00DD5A9B"/>
    <w:rPr>
      <w:color w:val="605E5C"/>
      <w:shd w:val="clear" w:color="auto" w:fill="E1DFDD"/>
    </w:rPr>
  </w:style>
  <w:style w:type="character" w:styleId="FollowedHyperlink">
    <w:name w:val="FollowedHyperlink"/>
    <w:basedOn w:val="DefaultParagraphFont"/>
    <w:uiPriority w:val="99"/>
    <w:semiHidden/>
    <w:unhideWhenUsed/>
    <w:rsid w:val="00DD5A9B"/>
    <w:rPr>
      <w:color w:val="800080" w:themeColor="followedHyperlink"/>
      <w:u w:val="single"/>
    </w:rPr>
  </w:style>
  <w:style w:type="paragraph" w:customStyle="1" w:styleId="Default">
    <w:name w:val="Default"/>
    <w:rsid w:val="0039364D"/>
    <w:pPr>
      <w:widowControl w:val="0"/>
      <w:autoSpaceDE w:val="0"/>
      <w:autoSpaceDN w:val="0"/>
      <w:adjustRightInd w:val="0"/>
    </w:pPr>
    <w:rPr>
      <w:rFonts w:ascii="Courier New" w:hAnsi="Courier New" w:cs="Courier New"/>
      <w:color w:val="000000"/>
    </w:rPr>
  </w:style>
  <w:style w:type="character" w:customStyle="1" w:styleId="UnresolvedMention3">
    <w:name w:val="Unresolved Mention3"/>
    <w:basedOn w:val="DefaultParagraphFont"/>
    <w:uiPriority w:val="99"/>
    <w:semiHidden/>
    <w:unhideWhenUsed/>
    <w:rsid w:val="008071F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122A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2AE6"/>
    <w:pPr>
      <w:keepNext/>
      <w:keepLines/>
      <w:spacing w:after="120" w:line="360" w:lineRule="auto"/>
      <w:outlineLvl w:val="1"/>
    </w:pPr>
    <w:rPr>
      <w:rFonts w:ascii="Times" w:eastAsiaTheme="majorEastAsia" w:hAnsi="Times" w:cs="Times"/>
      <w:b/>
      <w:bCs/>
      <w:i/>
      <w:sz w:val="26"/>
      <w:szCs w:val="26"/>
    </w:rPr>
  </w:style>
  <w:style w:type="paragraph" w:styleId="Heading3">
    <w:name w:val="heading 3"/>
    <w:basedOn w:val="Normal"/>
    <w:next w:val="Normal"/>
    <w:link w:val="Heading3Char"/>
    <w:uiPriority w:val="9"/>
    <w:unhideWhenUsed/>
    <w:qFormat/>
    <w:rsid w:val="00A144CF"/>
    <w:pPr>
      <w:keepNext/>
      <w:keepLines/>
      <w:spacing w:after="120" w:line="360" w:lineRule="auto"/>
      <w:outlineLvl w:val="2"/>
    </w:pPr>
    <w:rPr>
      <w:rFonts w:ascii="Times" w:eastAsiaTheme="majorEastAsia" w:hAnsi="Times" w:cstheme="majorBidi"/>
      <w:b/>
      <w:bCs/>
      <w:color w:val="4F81BD" w:themeColor="accent1"/>
    </w:rPr>
  </w:style>
  <w:style w:type="paragraph" w:styleId="Heading4">
    <w:name w:val="heading 4"/>
    <w:basedOn w:val="Normal"/>
    <w:next w:val="Normal"/>
    <w:link w:val="Heading4Char"/>
    <w:uiPriority w:val="9"/>
    <w:unhideWhenUsed/>
    <w:qFormat/>
    <w:rsid w:val="0020149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D35B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41"/>
    <w:rPr>
      <w:color w:val="0000FF" w:themeColor="hyperlink"/>
      <w:u w:val="single"/>
    </w:rPr>
  </w:style>
  <w:style w:type="character" w:customStyle="1" w:styleId="Heading1Char">
    <w:name w:val="Heading 1 Char"/>
    <w:basedOn w:val="DefaultParagraphFont"/>
    <w:link w:val="Heading1"/>
    <w:uiPriority w:val="9"/>
    <w:rsid w:val="00122A41"/>
    <w:rPr>
      <w:rFonts w:asciiTheme="majorHAnsi" w:eastAsiaTheme="majorEastAsia" w:hAnsiTheme="majorHAnsi" w:cstheme="majorBidi"/>
      <w:b/>
      <w:bCs/>
      <w:color w:val="345A8A" w:themeColor="accent1" w:themeShade="B5"/>
      <w:sz w:val="32"/>
      <w:szCs w:val="32"/>
      <w:lang w:val="en-CA"/>
    </w:rPr>
  </w:style>
  <w:style w:type="paragraph" w:styleId="TOCHeading">
    <w:name w:val="TOC Heading"/>
    <w:basedOn w:val="Heading1"/>
    <w:next w:val="Normal"/>
    <w:uiPriority w:val="39"/>
    <w:unhideWhenUsed/>
    <w:qFormat/>
    <w:rsid w:val="00122A41"/>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122A41"/>
    <w:rPr>
      <w:rFonts w:ascii="Lucida Grande" w:hAnsi="Lucida Grande"/>
      <w:sz w:val="18"/>
      <w:szCs w:val="18"/>
    </w:rPr>
  </w:style>
  <w:style w:type="character" w:customStyle="1" w:styleId="BalloonTextChar">
    <w:name w:val="Balloon Text Char"/>
    <w:basedOn w:val="DefaultParagraphFont"/>
    <w:link w:val="BalloonText"/>
    <w:uiPriority w:val="99"/>
    <w:semiHidden/>
    <w:rsid w:val="00122A41"/>
    <w:rPr>
      <w:rFonts w:ascii="Lucida Grande" w:hAnsi="Lucida Grande"/>
      <w:sz w:val="18"/>
      <w:szCs w:val="18"/>
      <w:lang w:val="en-CA"/>
    </w:rPr>
  </w:style>
  <w:style w:type="paragraph" w:styleId="TOC1">
    <w:name w:val="toc 1"/>
    <w:basedOn w:val="Normal"/>
    <w:next w:val="Normal"/>
    <w:autoRedefine/>
    <w:uiPriority w:val="39"/>
    <w:unhideWhenUsed/>
    <w:rsid w:val="00122A41"/>
    <w:pPr>
      <w:spacing w:before="120"/>
    </w:pPr>
    <w:rPr>
      <w:b/>
      <w:caps/>
      <w:sz w:val="22"/>
      <w:szCs w:val="22"/>
    </w:rPr>
  </w:style>
  <w:style w:type="paragraph" w:styleId="TOC2">
    <w:name w:val="toc 2"/>
    <w:basedOn w:val="Normal"/>
    <w:next w:val="Normal"/>
    <w:autoRedefine/>
    <w:uiPriority w:val="39"/>
    <w:unhideWhenUsed/>
    <w:rsid w:val="00122A41"/>
    <w:pPr>
      <w:ind w:left="240"/>
    </w:pPr>
    <w:rPr>
      <w:smallCaps/>
      <w:sz w:val="22"/>
      <w:szCs w:val="22"/>
    </w:rPr>
  </w:style>
  <w:style w:type="paragraph" w:styleId="TOC3">
    <w:name w:val="toc 3"/>
    <w:basedOn w:val="Normal"/>
    <w:next w:val="Normal"/>
    <w:autoRedefine/>
    <w:uiPriority w:val="39"/>
    <w:unhideWhenUsed/>
    <w:rsid w:val="00122A41"/>
    <w:pPr>
      <w:ind w:left="480"/>
    </w:pPr>
    <w:rPr>
      <w:i/>
      <w:sz w:val="22"/>
      <w:szCs w:val="22"/>
    </w:rPr>
  </w:style>
  <w:style w:type="paragraph" w:styleId="TOC4">
    <w:name w:val="toc 4"/>
    <w:basedOn w:val="Normal"/>
    <w:next w:val="Normal"/>
    <w:autoRedefine/>
    <w:uiPriority w:val="39"/>
    <w:unhideWhenUsed/>
    <w:rsid w:val="00122A41"/>
    <w:pPr>
      <w:ind w:left="720"/>
    </w:pPr>
    <w:rPr>
      <w:sz w:val="18"/>
      <w:szCs w:val="18"/>
    </w:rPr>
  </w:style>
  <w:style w:type="paragraph" w:styleId="TOC5">
    <w:name w:val="toc 5"/>
    <w:basedOn w:val="Normal"/>
    <w:next w:val="Normal"/>
    <w:autoRedefine/>
    <w:uiPriority w:val="39"/>
    <w:unhideWhenUsed/>
    <w:rsid w:val="00122A41"/>
    <w:pPr>
      <w:ind w:left="960"/>
    </w:pPr>
    <w:rPr>
      <w:sz w:val="18"/>
      <w:szCs w:val="18"/>
    </w:rPr>
  </w:style>
  <w:style w:type="paragraph" w:styleId="TOC6">
    <w:name w:val="toc 6"/>
    <w:basedOn w:val="Normal"/>
    <w:next w:val="Normal"/>
    <w:autoRedefine/>
    <w:uiPriority w:val="39"/>
    <w:unhideWhenUsed/>
    <w:rsid w:val="00122A41"/>
    <w:pPr>
      <w:ind w:left="1200"/>
    </w:pPr>
    <w:rPr>
      <w:sz w:val="18"/>
      <w:szCs w:val="18"/>
    </w:rPr>
  </w:style>
  <w:style w:type="paragraph" w:styleId="TOC7">
    <w:name w:val="toc 7"/>
    <w:basedOn w:val="Normal"/>
    <w:next w:val="Normal"/>
    <w:autoRedefine/>
    <w:uiPriority w:val="39"/>
    <w:unhideWhenUsed/>
    <w:rsid w:val="00122A41"/>
    <w:pPr>
      <w:ind w:left="1440"/>
    </w:pPr>
    <w:rPr>
      <w:sz w:val="18"/>
      <w:szCs w:val="18"/>
    </w:rPr>
  </w:style>
  <w:style w:type="paragraph" w:styleId="TOC8">
    <w:name w:val="toc 8"/>
    <w:basedOn w:val="Normal"/>
    <w:next w:val="Normal"/>
    <w:autoRedefine/>
    <w:uiPriority w:val="39"/>
    <w:unhideWhenUsed/>
    <w:rsid w:val="00122A41"/>
    <w:pPr>
      <w:ind w:left="1680"/>
    </w:pPr>
    <w:rPr>
      <w:sz w:val="18"/>
      <w:szCs w:val="18"/>
    </w:rPr>
  </w:style>
  <w:style w:type="paragraph" w:styleId="TOC9">
    <w:name w:val="toc 9"/>
    <w:basedOn w:val="Normal"/>
    <w:next w:val="Normal"/>
    <w:autoRedefine/>
    <w:uiPriority w:val="39"/>
    <w:unhideWhenUsed/>
    <w:rsid w:val="00122A41"/>
    <w:pPr>
      <w:ind w:left="1920"/>
    </w:pPr>
    <w:rPr>
      <w:sz w:val="18"/>
      <w:szCs w:val="18"/>
    </w:rPr>
  </w:style>
  <w:style w:type="paragraph" w:styleId="ListParagraph">
    <w:name w:val="List Paragraph"/>
    <w:basedOn w:val="Normal"/>
    <w:uiPriority w:val="34"/>
    <w:qFormat/>
    <w:rsid w:val="00122A41"/>
    <w:pPr>
      <w:ind w:left="720"/>
      <w:contextualSpacing/>
    </w:pPr>
  </w:style>
  <w:style w:type="paragraph" w:styleId="Subtitle">
    <w:name w:val="Subtitle"/>
    <w:basedOn w:val="Normal"/>
    <w:next w:val="Normal"/>
    <w:link w:val="SubtitleChar"/>
    <w:uiPriority w:val="11"/>
    <w:qFormat/>
    <w:rsid w:val="004673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73EE"/>
    <w:rPr>
      <w:rFonts w:asciiTheme="majorHAnsi" w:eastAsiaTheme="majorEastAsia" w:hAnsiTheme="majorHAnsi" w:cstheme="majorBidi"/>
      <w:i/>
      <w:iCs/>
      <w:color w:val="4F81BD" w:themeColor="accent1"/>
      <w:spacing w:val="15"/>
      <w:lang w:val="en-CA"/>
    </w:rPr>
  </w:style>
  <w:style w:type="character" w:styleId="SubtleEmphasis">
    <w:name w:val="Subtle Emphasis"/>
    <w:basedOn w:val="DefaultParagraphFont"/>
    <w:uiPriority w:val="19"/>
    <w:qFormat/>
    <w:rsid w:val="004673EE"/>
    <w:rPr>
      <w:i/>
      <w:iCs/>
      <w:color w:val="808080" w:themeColor="text1" w:themeTint="7F"/>
    </w:rPr>
  </w:style>
  <w:style w:type="character" w:customStyle="1" w:styleId="Heading2Char">
    <w:name w:val="Heading 2 Char"/>
    <w:basedOn w:val="DefaultParagraphFont"/>
    <w:link w:val="Heading2"/>
    <w:uiPriority w:val="9"/>
    <w:rsid w:val="004D2AE6"/>
    <w:rPr>
      <w:rFonts w:ascii="Times" w:eastAsiaTheme="majorEastAsia" w:hAnsi="Times" w:cs="Times"/>
      <w:b/>
      <w:bCs/>
      <w:i/>
      <w:sz w:val="26"/>
      <w:szCs w:val="26"/>
      <w:lang w:val="en-CA"/>
    </w:rPr>
  </w:style>
  <w:style w:type="character" w:styleId="IntenseEmphasis">
    <w:name w:val="Intense Emphasis"/>
    <w:basedOn w:val="DefaultParagraphFont"/>
    <w:uiPriority w:val="21"/>
    <w:qFormat/>
    <w:rsid w:val="00E63B8A"/>
    <w:rPr>
      <w:b/>
      <w:bCs/>
    </w:rPr>
  </w:style>
  <w:style w:type="character" w:customStyle="1" w:styleId="Heading3Char">
    <w:name w:val="Heading 3 Char"/>
    <w:basedOn w:val="DefaultParagraphFont"/>
    <w:link w:val="Heading3"/>
    <w:uiPriority w:val="9"/>
    <w:rsid w:val="00A144CF"/>
    <w:rPr>
      <w:rFonts w:ascii="Times" w:eastAsiaTheme="majorEastAsia" w:hAnsi="Times" w:cstheme="majorBidi"/>
      <w:b/>
      <w:bCs/>
      <w:color w:val="4F81BD" w:themeColor="accent1"/>
      <w:lang w:val="en-CA"/>
    </w:rPr>
  </w:style>
  <w:style w:type="paragraph" w:styleId="Footer">
    <w:name w:val="footer"/>
    <w:basedOn w:val="Normal"/>
    <w:link w:val="FooterChar"/>
    <w:uiPriority w:val="99"/>
    <w:unhideWhenUsed/>
    <w:rsid w:val="00E63B8A"/>
    <w:pPr>
      <w:tabs>
        <w:tab w:val="center" w:pos="4320"/>
        <w:tab w:val="right" w:pos="8640"/>
      </w:tabs>
    </w:pPr>
  </w:style>
  <w:style w:type="character" w:customStyle="1" w:styleId="FooterChar">
    <w:name w:val="Footer Char"/>
    <w:basedOn w:val="DefaultParagraphFont"/>
    <w:link w:val="Footer"/>
    <w:uiPriority w:val="99"/>
    <w:rsid w:val="00E63B8A"/>
    <w:rPr>
      <w:lang w:val="en-CA"/>
    </w:rPr>
  </w:style>
  <w:style w:type="character" w:styleId="PageNumber">
    <w:name w:val="page number"/>
    <w:basedOn w:val="DefaultParagraphFont"/>
    <w:uiPriority w:val="99"/>
    <w:semiHidden/>
    <w:unhideWhenUsed/>
    <w:rsid w:val="00E63B8A"/>
  </w:style>
  <w:style w:type="paragraph" w:customStyle="1" w:styleId="paragraphe">
    <w:name w:val="paragraphe"/>
    <w:basedOn w:val="Normal"/>
    <w:rsid w:val="00816122"/>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BF1ED0"/>
  </w:style>
  <w:style w:type="character" w:customStyle="1" w:styleId="FootnoteTextChar">
    <w:name w:val="Footnote Text Char"/>
    <w:basedOn w:val="DefaultParagraphFont"/>
    <w:link w:val="FootnoteText"/>
    <w:uiPriority w:val="99"/>
    <w:rsid w:val="00BF1ED0"/>
    <w:rPr>
      <w:lang w:val="en-CA"/>
    </w:rPr>
  </w:style>
  <w:style w:type="character" w:styleId="FootnoteReference">
    <w:name w:val="footnote reference"/>
    <w:basedOn w:val="DefaultParagraphFont"/>
    <w:uiPriority w:val="99"/>
    <w:unhideWhenUsed/>
    <w:rsid w:val="00BF1ED0"/>
    <w:rPr>
      <w:vertAlign w:val="superscript"/>
    </w:rPr>
  </w:style>
  <w:style w:type="character" w:styleId="CommentReference">
    <w:name w:val="annotation reference"/>
    <w:basedOn w:val="DefaultParagraphFont"/>
    <w:uiPriority w:val="99"/>
    <w:semiHidden/>
    <w:unhideWhenUsed/>
    <w:rsid w:val="00235A85"/>
    <w:rPr>
      <w:sz w:val="18"/>
      <w:szCs w:val="18"/>
    </w:rPr>
  </w:style>
  <w:style w:type="paragraph" w:styleId="CommentText">
    <w:name w:val="annotation text"/>
    <w:basedOn w:val="Normal"/>
    <w:link w:val="CommentTextChar"/>
    <w:uiPriority w:val="99"/>
    <w:semiHidden/>
    <w:unhideWhenUsed/>
    <w:rsid w:val="00235A85"/>
  </w:style>
  <w:style w:type="character" w:customStyle="1" w:styleId="CommentTextChar">
    <w:name w:val="Comment Text Char"/>
    <w:basedOn w:val="DefaultParagraphFont"/>
    <w:link w:val="CommentText"/>
    <w:uiPriority w:val="99"/>
    <w:semiHidden/>
    <w:rsid w:val="00235A85"/>
    <w:rPr>
      <w:lang w:val="en-CA"/>
    </w:rPr>
  </w:style>
  <w:style w:type="paragraph" w:styleId="CommentSubject">
    <w:name w:val="annotation subject"/>
    <w:basedOn w:val="CommentText"/>
    <w:next w:val="CommentText"/>
    <w:link w:val="CommentSubjectChar"/>
    <w:uiPriority w:val="99"/>
    <w:semiHidden/>
    <w:unhideWhenUsed/>
    <w:rsid w:val="00235A85"/>
    <w:rPr>
      <w:b/>
      <w:bCs/>
      <w:sz w:val="20"/>
      <w:szCs w:val="20"/>
    </w:rPr>
  </w:style>
  <w:style w:type="character" w:customStyle="1" w:styleId="CommentSubjectChar">
    <w:name w:val="Comment Subject Char"/>
    <w:basedOn w:val="CommentTextChar"/>
    <w:link w:val="CommentSubject"/>
    <w:uiPriority w:val="99"/>
    <w:semiHidden/>
    <w:rsid w:val="00235A85"/>
    <w:rPr>
      <w:b/>
      <w:bCs/>
      <w:sz w:val="20"/>
      <w:szCs w:val="20"/>
      <w:lang w:val="en-CA"/>
    </w:rPr>
  </w:style>
  <w:style w:type="paragraph" w:customStyle="1" w:styleId="definition">
    <w:name w:val="definition"/>
    <w:basedOn w:val="Normal"/>
    <w:rsid w:val="00BB063F"/>
    <w:pPr>
      <w:spacing w:before="100" w:beforeAutospacing="1" w:after="100" w:afterAutospacing="1"/>
    </w:pPr>
    <w:rPr>
      <w:rFonts w:ascii="Times" w:hAnsi="Times"/>
      <w:sz w:val="20"/>
      <w:szCs w:val="20"/>
    </w:rPr>
  </w:style>
  <w:style w:type="paragraph" w:customStyle="1" w:styleId="paragraph">
    <w:name w:val="paragraph"/>
    <w:basedOn w:val="Normal"/>
    <w:rsid w:val="00BB063F"/>
    <w:pPr>
      <w:spacing w:before="100" w:beforeAutospacing="1" w:after="100" w:afterAutospacing="1"/>
    </w:pPr>
    <w:rPr>
      <w:rFonts w:ascii="Times" w:hAnsi="Times"/>
      <w:sz w:val="20"/>
      <w:szCs w:val="20"/>
    </w:rPr>
  </w:style>
  <w:style w:type="character" w:customStyle="1" w:styleId="lawlabel">
    <w:name w:val="lawlabel"/>
    <w:basedOn w:val="DefaultParagraphFont"/>
    <w:rsid w:val="00BB063F"/>
  </w:style>
  <w:style w:type="character" w:styleId="HTMLCite">
    <w:name w:val="HTML Cite"/>
    <w:basedOn w:val="DefaultParagraphFont"/>
    <w:uiPriority w:val="99"/>
    <w:semiHidden/>
    <w:unhideWhenUsed/>
    <w:rsid w:val="00BB063F"/>
    <w:rPr>
      <w:i/>
      <w:iCs/>
    </w:rPr>
  </w:style>
  <w:style w:type="paragraph" w:customStyle="1" w:styleId="subparagraph">
    <w:name w:val="subparagraph"/>
    <w:basedOn w:val="Normal"/>
    <w:rsid w:val="00BB063F"/>
    <w:pPr>
      <w:spacing w:before="100" w:beforeAutospacing="1" w:after="100" w:afterAutospacing="1"/>
    </w:pPr>
    <w:rPr>
      <w:rFonts w:ascii="Times" w:hAnsi="Times"/>
      <w:sz w:val="20"/>
      <w:szCs w:val="20"/>
    </w:rPr>
  </w:style>
  <w:style w:type="paragraph" w:customStyle="1" w:styleId="continuedparagraph">
    <w:name w:val="continuedparagraph"/>
    <w:basedOn w:val="Normal"/>
    <w:rsid w:val="00BB063F"/>
    <w:pPr>
      <w:spacing w:before="100" w:beforeAutospacing="1" w:after="100" w:afterAutospacing="1"/>
    </w:pPr>
    <w:rPr>
      <w:rFonts w:ascii="Times" w:hAnsi="Times"/>
      <w:sz w:val="20"/>
      <w:szCs w:val="20"/>
    </w:rPr>
  </w:style>
  <w:style w:type="character" w:customStyle="1" w:styleId="definedtermlink">
    <w:name w:val="definedtermlink"/>
    <w:basedOn w:val="DefaultParagraphFont"/>
    <w:rsid w:val="00BB063F"/>
  </w:style>
  <w:style w:type="character" w:customStyle="1" w:styleId="solexhl">
    <w:name w:val="solexhl"/>
    <w:basedOn w:val="DefaultParagraphFont"/>
    <w:rsid w:val="003E15BC"/>
  </w:style>
  <w:style w:type="character" w:customStyle="1" w:styleId="reflex3-block">
    <w:name w:val="reflex3-block"/>
    <w:basedOn w:val="DefaultParagraphFont"/>
    <w:rsid w:val="003E15BC"/>
  </w:style>
  <w:style w:type="character" w:customStyle="1" w:styleId="reflex3-alt">
    <w:name w:val="reflex3-alt"/>
    <w:basedOn w:val="DefaultParagraphFont"/>
    <w:rsid w:val="003E15BC"/>
  </w:style>
  <w:style w:type="paragraph" w:styleId="NormalWeb">
    <w:name w:val="Normal (Web)"/>
    <w:basedOn w:val="Normal"/>
    <w:uiPriority w:val="99"/>
    <w:semiHidden/>
    <w:unhideWhenUsed/>
    <w:rsid w:val="00792A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92AF9"/>
  </w:style>
  <w:style w:type="character" w:styleId="Strong">
    <w:name w:val="Strong"/>
    <w:basedOn w:val="DefaultParagraphFont"/>
    <w:uiPriority w:val="22"/>
    <w:qFormat/>
    <w:rsid w:val="00792AF9"/>
    <w:rPr>
      <w:b/>
      <w:bCs/>
    </w:rPr>
  </w:style>
  <w:style w:type="character" w:customStyle="1" w:styleId="FootnoteCharacters">
    <w:name w:val="Footnote Characters"/>
    <w:basedOn w:val="DefaultParagraphFont"/>
    <w:rsid w:val="008F50DF"/>
    <w:rPr>
      <w:vertAlign w:val="superscript"/>
    </w:rPr>
  </w:style>
  <w:style w:type="character" w:customStyle="1" w:styleId="documentbody">
    <w:name w:val="documentbody"/>
    <w:basedOn w:val="DefaultParagraphFont"/>
    <w:rsid w:val="00EE072A"/>
  </w:style>
  <w:style w:type="character" w:customStyle="1" w:styleId="Heading4Char">
    <w:name w:val="Heading 4 Char"/>
    <w:basedOn w:val="DefaultParagraphFont"/>
    <w:link w:val="Heading4"/>
    <w:uiPriority w:val="9"/>
    <w:rsid w:val="00201493"/>
    <w:rPr>
      <w:rFonts w:asciiTheme="majorHAnsi" w:eastAsiaTheme="majorEastAsia" w:hAnsiTheme="majorHAnsi" w:cstheme="majorBidi"/>
      <w:i/>
      <w:iCs/>
      <w:color w:val="365F91" w:themeColor="accent1" w:themeShade="BF"/>
      <w:lang w:val="en-CA"/>
    </w:rPr>
  </w:style>
  <w:style w:type="paragraph" w:customStyle="1" w:styleId="ParaLevel1">
    <w:name w:val="ParaLevel1"/>
    <w:basedOn w:val="Normal"/>
    <w:link w:val="ParaLevel1Char"/>
    <w:rsid w:val="005F2896"/>
    <w:pPr>
      <w:tabs>
        <w:tab w:val="left" w:pos="1440"/>
      </w:tabs>
      <w:suppressAutoHyphens/>
      <w:spacing w:before="480" w:line="480" w:lineRule="auto"/>
      <w:jc w:val="both"/>
    </w:pPr>
    <w:rPr>
      <w:rFonts w:ascii="Arial" w:eastAsia="Times New Roman" w:hAnsi="Arial" w:cs="Times New Roman"/>
      <w:szCs w:val="20"/>
      <w:lang w:eastAsia="ar-SA"/>
    </w:rPr>
  </w:style>
  <w:style w:type="paragraph" w:customStyle="1" w:styleId="clause">
    <w:name w:val="clause"/>
    <w:basedOn w:val="Normal"/>
    <w:rsid w:val="005F2896"/>
    <w:pPr>
      <w:suppressAutoHyphens/>
      <w:spacing w:before="280" w:after="280"/>
      <w:ind w:left="1008"/>
    </w:pPr>
    <w:rPr>
      <w:rFonts w:ascii="Times New Roman" w:eastAsia="Times New Roman" w:hAnsi="Times New Roman" w:cs="Times New Roman"/>
      <w:lang w:eastAsia="ar-SA"/>
    </w:rPr>
  </w:style>
  <w:style w:type="character" w:customStyle="1" w:styleId="ParaLevel1Char">
    <w:name w:val="ParaLevel1 Char"/>
    <w:basedOn w:val="DefaultParagraphFont"/>
    <w:link w:val="ParaLevel1"/>
    <w:locked/>
    <w:rsid w:val="005F2896"/>
    <w:rPr>
      <w:rFonts w:ascii="Arial" w:eastAsia="Times New Roman" w:hAnsi="Arial" w:cs="Times New Roman"/>
      <w:szCs w:val="20"/>
      <w:lang w:val="en-CA" w:eastAsia="ar-SA"/>
    </w:rPr>
  </w:style>
  <w:style w:type="paragraph" w:customStyle="1" w:styleId="subsection">
    <w:name w:val="subsection"/>
    <w:basedOn w:val="Normal"/>
    <w:rsid w:val="00267CC5"/>
    <w:pPr>
      <w:spacing w:before="100" w:beforeAutospacing="1" w:after="100" w:afterAutospacing="1"/>
    </w:pPr>
    <w:rPr>
      <w:rFonts w:ascii="Times New Roman" w:eastAsia="Times New Roman" w:hAnsi="Times New Roman" w:cs="Times New Roman"/>
      <w:lang w:eastAsia="en-CA"/>
    </w:rPr>
  </w:style>
  <w:style w:type="character" w:customStyle="1" w:styleId="sectionlabel">
    <w:name w:val="sectionlabel"/>
    <w:basedOn w:val="DefaultParagraphFont"/>
    <w:rsid w:val="00267CC5"/>
  </w:style>
  <w:style w:type="character" w:customStyle="1" w:styleId="canliisectionwithsubsection">
    <w:name w:val="canlii_section_with_subsection"/>
    <w:basedOn w:val="DefaultParagraphFont"/>
    <w:rsid w:val="00267CC5"/>
  </w:style>
  <w:style w:type="character" w:customStyle="1" w:styleId="UnresolvedMention1">
    <w:name w:val="Unresolved Mention1"/>
    <w:basedOn w:val="DefaultParagraphFont"/>
    <w:uiPriority w:val="99"/>
    <w:semiHidden/>
    <w:unhideWhenUsed/>
    <w:rsid w:val="007F4479"/>
    <w:rPr>
      <w:color w:val="605E5C"/>
      <w:shd w:val="clear" w:color="auto" w:fill="E1DFDD"/>
    </w:rPr>
  </w:style>
  <w:style w:type="character" w:customStyle="1" w:styleId="wb-invisible">
    <w:name w:val="wb-invisible"/>
    <w:basedOn w:val="DefaultParagraphFont"/>
    <w:rsid w:val="00FF007A"/>
  </w:style>
  <w:style w:type="character" w:customStyle="1" w:styleId="Heading5Char">
    <w:name w:val="Heading 5 Char"/>
    <w:basedOn w:val="DefaultParagraphFont"/>
    <w:link w:val="Heading5"/>
    <w:uiPriority w:val="9"/>
    <w:rsid w:val="00AD35B9"/>
    <w:rPr>
      <w:rFonts w:asciiTheme="majorHAnsi" w:eastAsiaTheme="majorEastAsia" w:hAnsiTheme="majorHAnsi" w:cstheme="majorBidi"/>
      <w:color w:val="365F91" w:themeColor="accent1" w:themeShade="BF"/>
      <w:lang w:val="en-CA"/>
    </w:rPr>
  </w:style>
  <w:style w:type="character" w:styleId="Emphasis">
    <w:name w:val="Emphasis"/>
    <w:basedOn w:val="DefaultParagraphFont"/>
    <w:uiPriority w:val="20"/>
    <w:qFormat/>
    <w:rsid w:val="00BF388F"/>
    <w:rPr>
      <w:i/>
      <w:iCs/>
    </w:rPr>
  </w:style>
  <w:style w:type="character" w:customStyle="1" w:styleId="UnresolvedMention2">
    <w:name w:val="Unresolved Mention2"/>
    <w:basedOn w:val="DefaultParagraphFont"/>
    <w:uiPriority w:val="99"/>
    <w:semiHidden/>
    <w:unhideWhenUsed/>
    <w:rsid w:val="00DD5A9B"/>
    <w:rPr>
      <w:color w:val="605E5C"/>
      <w:shd w:val="clear" w:color="auto" w:fill="E1DFDD"/>
    </w:rPr>
  </w:style>
  <w:style w:type="character" w:styleId="FollowedHyperlink">
    <w:name w:val="FollowedHyperlink"/>
    <w:basedOn w:val="DefaultParagraphFont"/>
    <w:uiPriority w:val="99"/>
    <w:semiHidden/>
    <w:unhideWhenUsed/>
    <w:rsid w:val="00DD5A9B"/>
    <w:rPr>
      <w:color w:val="800080" w:themeColor="followedHyperlink"/>
      <w:u w:val="single"/>
    </w:rPr>
  </w:style>
  <w:style w:type="paragraph" w:customStyle="1" w:styleId="Default">
    <w:name w:val="Default"/>
    <w:rsid w:val="0039364D"/>
    <w:pPr>
      <w:widowControl w:val="0"/>
      <w:autoSpaceDE w:val="0"/>
      <w:autoSpaceDN w:val="0"/>
      <w:adjustRightInd w:val="0"/>
    </w:pPr>
    <w:rPr>
      <w:rFonts w:ascii="Courier New" w:hAnsi="Courier New" w:cs="Courier New"/>
      <w:color w:val="000000"/>
    </w:rPr>
  </w:style>
  <w:style w:type="character" w:customStyle="1" w:styleId="UnresolvedMention3">
    <w:name w:val="Unresolved Mention3"/>
    <w:basedOn w:val="DefaultParagraphFont"/>
    <w:uiPriority w:val="99"/>
    <w:semiHidden/>
    <w:unhideWhenUsed/>
    <w:rsid w:val="00807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0619">
      <w:bodyDiv w:val="1"/>
      <w:marLeft w:val="0"/>
      <w:marRight w:val="0"/>
      <w:marTop w:val="0"/>
      <w:marBottom w:val="0"/>
      <w:divBdr>
        <w:top w:val="none" w:sz="0" w:space="0" w:color="auto"/>
        <w:left w:val="none" w:sz="0" w:space="0" w:color="auto"/>
        <w:bottom w:val="none" w:sz="0" w:space="0" w:color="auto"/>
        <w:right w:val="none" w:sz="0" w:space="0" w:color="auto"/>
      </w:divBdr>
    </w:div>
    <w:div w:id="190193233">
      <w:bodyDiv w:val="1"/>
      <w:marLeft w:val="0"/>
      <w:marRight w:val="0"/>
      <w:marTop w:val="0"/>
      <w:marBottom w:val="0"/>
      <w:divBdr>
        <w:top w:val="none" w:sz="0" w:space="0" w:color="auto"/>
        <w:left w:val="none" w:sz="0" w:space="0" w:color="auto"/>
        <w:bottom w:val="none" w:sz="0" w:space="0" w:color="auto"/>
        <w:right w:val="none" w:sz="0" w:space="0" w:color="auto"/>
      </w:divBdr>
    </w:div>
    <w:div w:id="224342304">
      <w:bodyDiv w:val="1"/>
      <w:marLeft w:val="0"/>
      <w:marRight w:val="0"/>
      <w:marTop w:val="0"/>
      <w:marBottom w:val="0"/>
      <w:divBdr>
        <w:top w:val="none" w:sz="0" w:space="0" w:color="auto"/>
        <w:left w:val="none" w:sz="0" w:space="0" w:color="auto"/>
        <w:bottom w:val="none" w:sz="0" w:space="0" w:color="auto"/>
        <w:right w:val="none" w:sz="0" w:space="0" w:color="auto"/>
      </w:divBdr>
    </w:div>
    <w:div w:id="454636064">
      <w:bodyDiv w:val="1"/>
      <w:marLeft w:val="0"/>
      <w:marRight w:val="0"/>
      <w:marTop w:val="0"/>
      <w:marBottom w:val="0"/>
      <w:divBdr>
        <w:top w:val="none" w:sz="0" w:space="0" w:color="auto"/>
        <w:left w:val="none" w:sz="0" w:space="0" w:color="auto"/>
        <w:bottom w:val="none" w:sz="0" w:space="0" w:color="auto"/>
        <w:right w:val="none" w:sz="0" w:space="0" w:color="auto"/>
      </w:divBdr>
      <w:divsChild>
        <w:div w:id="752699154">
          <w:marLeft w:val="0"/>
          <w:marRight w:val="0"/>
          <w:marTop w:val="0"/>
          <w:marBottom w:val="0"/>
          <w:divBdr>
            <w:top w:val="none" w:sz="0" w:space="0" w:color="auto"/>
            <w:left w:val="none" w:sz="0" w:space="0" w:color="auto"/>
            <w:bottom w:val="none" w:sz="0" w:space="0" w:color="auto"/>
            <w:right w:val="none" w:sz="0" w:space="0" w:color="auto"/>
          </w:divBdr>
          <w:divsChild>
            <w:div w:id="2029410588">
              <w:marLeft w:val="0"/>
              <w:marRight w:val="0"/>
              <w:marTop w:val="0"/>
              <w:marBottom w:val="0"/>
              <w:divBdr>
                <w:top w:val="none" w:sz="0" w:space="0" w:color="auto"/>
                <w:left w:val="none" w:sz="0" w:space="0" w:color="auto"/>
                <w:bottom w:val="none" w:sz="0" w:space="0" w:color="auto"/>
                <w:right w:val="none" w:sz="0" w:space="0" w:color="auto"/>
              </w:divBdr>
              <w:divsChild>
                <w:div w:id="12537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3964">
          <w:marLeft w:val="0"/>
          <w:marRight w:val="0"/>
          <w:marTop w:val="0"/>
          <w:marBottom w:val="0"/>
          <w:divBdr>
            <w:top w:val="none" w:sz="0" w:space="0" w:color="auto"/>
            <w:left w:val="none" w:sz="0" w:space="0" w:color="auto"/>
            <w:bottom w:val="none" w:sz="0" w:space="0" w:color="auto"/>
            <w:right w:val="none" w:sz="0" w:space="0" w:color="auto"/>
          </w:divBdr>
          <w:divsChild>
            <w:div w:id="221908470">
              <w:marLeft w:val="0"/>
              <w:marRight w:val="0"/>
              <w:marTop w:val="0"/>
              <w:marBottom w:val="0"/>
              <w:divBdr>
                <w:top w:val="none" w:sz="0" w:space="0" w:color="auto"/>
                <w:left w:val="none" w:sz="0" w:space="0" w:color="auto"/>
                <w:bottom w:val="none" w:sz="0" w:space="0" w:color="auto"/>
                <w:right w:val="none" w:sz="0" w:space="0" w:color="auto"/>
              </w:divBdr>
            </w:div>
            <w:div w:id="433671347">
              <w:marLeft w:val="0"/>
              <w:marRight w:val="0"/>
              <w:marTop w:val="0"/>
              <w:marBottom w:val="0"/>
              <w:divBdr>
                <w:top w:val="none" w:sz="0" w:space="0" w:color="auto"/>
                <w:left w:val="none" w:sz="0" w:space="0" w:color="auto"/>
                <w:bottom w:val="none" w:sz="0" w:space="0" w:color="auto"/>
                <w:right w:val="none" w:sz="0" w:space="0" w:color="auto"/>
              </w:divBdr>
            </w:div>
            <w:div w:id="295913629">
              <w:marLeft w:val="0"/>
              <w:marRight w:val="0"/>
              <w:marTop w:val="0"/>
              <w:marBottom w:val="0"/>
              <w:divBdr>
                <w:top w:val="none" w:sz="0" w:space="0" w:color="auto"/>
                <w:left w:val="none" w:sz="0" w:space="0" w:color="auto"/>
                <w:bottom w:val="none" w:sz="0" w:space="0" w:color="auto"/>
                <w:right w:val="none" w:sz="0" w:space="0" w:color="auto"/>
              </w:divBdr>
            </w:div>
            <w:div w:id="1044402645">
              <w:marLeft w:val="0"/>
              <w:marRight w:val="0"/>
              <w:marTop w:val="0"/>
              <w:marBottom w:val="0"/>
              <w:divBdr>
                <w:top w:val="none" w:sz="0" w:space="0" w:color="auto"/>
                <w:left w:val="none" w:sz="0" w:space="0" w:color="auto"/>
                <w:bottom w:val="none" w:sz="0" w:space="0" w:color="auto"/>
                <w:right w:val="none" w:sz="0" w:space="0" w:color="auto"/>
              </w:divBdr>
            </w:div>
            <w:div w:id="1762794683">
              <w:marLeft w:val="0"/>
              <w:marRight w:val="0"/>
              <w:marTop w:val="0"/>
              <w:marBottom w:val="0"/>
              <w:divBdr>
                <w:top w:val="none" w:sz="0" w:space="0" w:color="auto"/>
                <w:left w:val="none" w:sz="0" w:space="0" w:color="auto"/>
                <w:bottom w:val="none" w:sz="0" w:space="0" w:color="auto"/>
                <w:right w:val="none" w:sz="0" w:space="0" w:color="auto"/>
              </w:divBdr>
            </w:div>
            <w:div w:id="845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0792">
      <w:bodyDiv w:val="1"/>
      <w:marLeft w:val="0"/>
      <w:marRight w:val="0"/>
      <w:marTop w:val="0"/>
      <w:marBottom w:val="0"/>
      <w:divBdr>
        <w:top w:val="none" w:sz="0" w:space="0" w:color="auto"/>
        <w:left w:val="none" w:sz="0" w:space="0" w:color="auto"/>
        <w:bottom w:val="none" w:sz="0" w:space="0" w:color="auto"/>
        <w:right w:val="none" w:sz="0" w:space="0" w:color="auto"/>
      </w:divBdr>
    </w:div>
    <w:div w:id="1130855114">
      <w:bodyDiv w:val="1"/>
      <w:marLeft w:val="0"/>
      <w:marRight w:val="0"/>
      <w:marTop w:val="0"/>
      <w:marBottom w:val="0"/>
      <w:divBdr>
        <w:top w:val="none" w:sz="0" w:space="0" w:color="auto"/>
        <w:left w:val="none" w:sz="0" w:space="0" w:color="auto"/>
        <w:bottom w:val="none" w:sz="0" w:space="0" w:color="auto"/>
        <w:right w:val="none" w:sz="0" w:space="0" w:color="auto"/>
      </w:divBdr>
    </w:div>
    <w:div w:id="1181359825">
      <w:bodyDiv w:val="1"/>
      <w:marLeft w:val="0"/>
      <w:marRight w:val="0"/>
      <w:marTop w:val="0"/>
      <w:marBottom w:val="0"/>
      <w:divBdr>
        <w:top w:val="none" w:sz="0" w:space="0" w:color="auto"/>
        <w:left w:val="none" w:sz="0" w:space="0" w:color="auto"/>
        <w:bottom w:val="none" w:sz="0" w:space="0" w:color="auto"/>
        <w:right w:val="none" w:sz="0" w:space="0" w:color="auto"/>
      </w:divBdr>
    </w:div>
    <w:div w:id="1314871164">
      <w:bodyDiv w:val="1"/>
      <w:marLeft w:val="0"/>
      <w:marRight w:val="0"/>
      <w:marTop w:val="0"/>
      <w:marBottom w:val="0"/>
      <w:divBdr>
        <w:top w:val="none" w:sz="0" w:space="0" w:color="auto"/>
        <w:left w:val="none" w:sz="0" w:space="0" w:color="auto"/>
        <w:bottom w:val="none" w:sz="0" w:space="0" w:color="auto"/>
        <w:right w:val="none" w:sz="0" w:space="0" w:color="auto"/>
      </w:divBdr>
    </w:div>
    <w:div w:id="1368018615">
      <w:bodyDiv w:val="1"/>
      <w:marLeft w:val="0"/>
      <w:marRight w:val="0"/>
      <w:marTop w:val="0"/>
      <w:marBottom w:val="0"/>
      <w:divBdr>
        <w:top w:val="none" w:sz="0" w:space="0" w:color="auto"/>
        <w:left w:val="none" w:sz="0" w:space="0" w:color="auto"/>
        <w:bottom w:val="none" w:sz="0" w:space="0" w:color="auto"/>
        <w:right w:val="none" w:sz="0" w:space="0" w:color="auto"/>
      </w:divBdr>
    </w:div>
    <w:div w:id="1533762096">
      <w:bodyDiv w:val="1"/>
      <w:marLeft w:val="0"/>
      <w:marRight w:val="0"/>
      <w:marTop w:val="0"/>
      <w:marBottom w:val="0"/>
      <w:divBdr>
        <w:top w:val="none" w:sz="0" w:space="0" w:color="auto"/>
        <w:left w:val="none" w:sz="0" w:space="0" w:color="auto"/>
        <w:bottom w:val="none" w:sz="0" w:space="0" w:color="auto"/>
        <w:right w:val="none" w:sz="0" w:space="0" w:color="auto"/>
      </w:divBdr>
      <w:divsChild>
        <w:div w:id="1941528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84519">
              <w:marLeft w:val="0"/>
              <w:marRight w:val="0"/>
              <w:marTop w:val="0"/>
              <w:marBottom w:val="0"/>
              <w:divBdr>
                <w:top w:val="none" w:sz="0" w:space="0" w:color="auto"/>
                <w:left w:val="none" w:sz="0" w:space="0" w:color="auto"/>
                <w:bottom w:val="none" w:sz="0" w:space="0" w:color="auto"/>
                <w:right w:val="none" w:sz="0" w:space="0" w:color="auto"/>
              </w:divBdr>
              <w:divsChild>
                <w:div w:id="637972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39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1868">
      <w:bodyDiv w:val="1"/>
      <w:marLeft w:val="0"/>
      <w:marRight w:val="0"/>
      <w:marTop w:val="0"/>
      <w:marBottom w:val="0"/>
      <w:divBdr>
        <w:top w:val="none" w:sz="0" w:space="0" w:color="auto"/>
        <w:left w:val="none" w:sz="0" w:space="0" w:color="auto"/>
        <w:bottom w:val="none" w:sz="0" w:space="0" w:color="auto"/>
        <w:right w:val="none" w:sz="0" w:space="0" w:color="auto"/>
      </w:divBdr>
    </w:div>
    <w:div w:id="1884323110">
      <w:bodyDiv w:val="1"/>
      <w:marLeft w:val="0"/>
      <w:marRight w:val="0"/>
      <w:marTop w:val="0"/>
      <w:marBottom w:val="0"/>
      <w:divBdr>
        <w:top w:val="none" w:sz="0" w:space="0" w:color="auto"/>
        <w:left w:val="none" w:sz="0" w:space="0" w:color="auto"/>
        <w:bottom w:val="none" w:sz="0" w:space="0" w:color="auto"/>
        <w:right w:val="none" w:sz="0" w:space="0" w:color="auto"/>
      </w:divBdr>
    </w:div>
    <w:div w:id="1887521067">
      <w:bodyDiv w:val="1"/>
      <w:marLeft w:val="0"/>
      <w:marRight w:val="0"/>
      <w:marTop w:val="0"/>
      <w:marBottom w:val="0"/>
      <w:divBdr>
        <w:top w:val="none" w:sz="0" w:space="0" w:color="auto"/>
        <w:left w:val="none" w:sz="0" w:space="0" w:color="auto"/>
        <w:bottom w:val="none" w:sz="0" w:space="0" w:color="auto"/>
        <w:right w:val="none" w:sz="0" w:space="0" w:color="auto"/>
      </w:divBdr>
    </w:div>
    <w:div w:id="1888570393">
      <w:bodyDiv w:val="1"/>
      <w:marLeft w:val="0"/>
      <w:marRight w:val="0"/>
      <w:marTop w:val="0"/>
      <w:marBottom w:val="0"/>
      <w:divBdr>
        <w:top w:val="none" w:sz="0" w:space="0" w:color="auto"/>
        <w:left w:val="none" w:sz="0" w:space="0" w:color="auto"/>
        <w:bottom w:val="none" w:sz="0" w:space="0" w:color="auto"/>
        <w:right w:val="none" w:sz="0" w:space="0" w:color="auto"/>
      </w:divBdr>
    </w:div>
    <w:div w:id="1894998441">
      <w:bodyDiv w:val="1"/>
      <w:marLeft w:val="0"/>
      <w:marRight w:val="0"/>
      <w:marTop w:val="0"/>
      <w:marBottom w:val="0"/>
      <w:divBdr>
        <w:top w:val="none" w:sz="0" w:space="0" w:color="auto"/>
        <w:left w:val="none" w:sz="0" w:space="0" w:color="auto"/>
        <w:bottom w:val="none" w:sz="0" w:space="0" w:color="auto"/>
        <w:right w:val="none" w:sz="0" w:space="0" w:color="auto"/>
      </w:divBdr>
      <w:divsChild>
        <w:div w:id="738014917">
          <w:marLeft w:val="720"/>
          <w:marRight w:val="0"/>
          <w:marTop w:val="0"/>
          <w:marBottom w:val="0"/>
          <w:divBdr>
            <w:top w:val="none" w:sz="0" w:space="0" w:color="auto"/>
            <w:left w:val="none" w:sz="0" w:space="0" w:color="auto"/>
            <w:bottom w:val="none" w:sz="0" w:space="0" w:color="auto"/>
            <w:right w:val="none" w:sz="0" w:space="0" w:color="auto"/>
          </w:divBdr>
        </w:div>
        <w:div w:id="1814903421">
          <w:marLeft w:val="0"/>
          <w:marRight w:val="0"/>
          <w:marTop w:val="0"/>
          <w:marBottom w:val="0"/>
          <w:divBdr>
            <w:top w:val="none" w:sz="0" w:space="0" w:color="auto"/>
            <w:left w:val="none" w:sz="0" w:space="0" w:color="auto"/>
            <w:bottom w:val="none" w:sz="0" w:space="0" w:color="auto"/>
            <w:right w:val="none" w:sz="0" w:space="0" w:color="auto"/>
          </w:divBdr>
          <w:divsChild>
            <w:div w:id="1239247861">
              <w:marLeft w:val="0"/>
              <w:marRight w:val="0"/>
              <w:marTop w:val="0"/>
              <w:marBottom w:val="0"/>
              <w:divBdr>
                <w:top w:val="none" w:sz="0" w:space="0" w:color="auto"/>
                <w:left w:val="none" w:sz="0" w:space="0" w:color="auto"/>
                <w:bottom w:val="none" w:sz="0" w:space="0" w:color="auto"/>
                <w:right w:val="none" w:sz="0" w:space="0" w:color="auto"/>
              </w:divBdr>
            </w:div>
            <w:div w:id="1334451324">
              <w:marLeft w:val="0"/>
              <w:marRight w:val="0"/>
              <w:marTop w:val="0"/>
              <w:marBottom w:val="0"/>
              <w:divBdr>
                <w:top w:val="none" w:sz="0" w:space="0" w:color="auto"/>
                <w:left w:val="none" w:sz="0" w:space="0" w:color="auto"/>
                <w:bottom w:val="none" w:sz="0" w:space="0" w:color="auto"/>
                <w:right w:val="none" w:sz="0" w:space="0" w:color="auto"/>
              </w:divBdr>
            </w:div>
            <w:div w:id="1299144038">
              <w:marLeft w:val="0"/>
              <w:marRight w:val="0"/>
              <w:marTop w:val="0"/>
              <w:marBottom w:val="0"/>
              <w:divBdr>
                <w:top w:val="none" w:sz="0" w:space="0" w:color="auto"/>
                <w:left w:val="none" w:sz="0" w:space="0" w:color="auto"/>
                <w:bottom w:val="none" w:sz="0" w:space="0" w:color="auto"/>
                <w:right w:val="none" w:sz="0" w:space="0" w:color="auto"/>
              </w:divBdr>
            </w:div>
            <w:div w:id="6721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4758">
      <w:bodyDiv w:val="1"/>
      <w:marLeft w:val="0"/>
      <w:marRight w:val="0"/>
      <w:marTop w:val="0"/>
      <w:marBottom w:val="0"/>
      <w:divBdr>
        <w:top w:val="none" w:sz="0" w:space="0" w:color="auto"/>
        <w:left w:val="none" w:sz="0" w:space="0" w:color="auto"/>
        <w:bottom w:val="none" w:sz="0" w:space="0" w:color="auto"/>
        <w:right w:val="none" w:sz="0" w:space="0" w:color="auto"/>
      </w:divBdr>
    </w:div>
    <w:div w:id="2046907634">
      <w:bodyDiv w:val="1"/>
      <w:marLeft w:val="0"/>
      <w:marRight w:val="0"/>
      <w:marTop w:val="0"/>
      <w:marBottom w:val="0"/>
      <w:divBdr>
        <w:top w:val="none" w:sz="0" w:space="0" w:color="auto"/>
        <w:left w:val="none" w:sz="0" w:space="0" w:color="auto"/>
        <w:bottom w:val="none" w:sz="0" w:space="0" w:color="auto"/>
        <w:right w:val="none" w:sz="0" w:space="0" w:color="auto"/>
      </w:divBdr>
      <w:divsChild>
        <w:div w:id="1765373988">
          <w:marLeft w:val="0"/>
          <w:marRight w:val="0"/>
          <w:marTop w:val="0"/>
          <w:marBottom w:val="0"/>
          <w:divBdr>
            <w:top w:val="none" w:sz="0" w:space="0" w:color="auto"/>
            <w:left w:val="none" w:sz="0" w:space="0" w:color="auto"/>
            <w:bottom w:val="none" w:sz="0" w:space="0" w:color="auto"/>
            <w:right w:val="none" w:sz="0" w:space="0" w:color="auto"/>
          </w:divBdr>
          <w:divsChild>
            <w:div w:id="490483681">
              <w:marLeft w:val="0"/>
              <w:marRight w:val="0"/>
              <w:marTop w:val="0"/>
              <w:marBottom w:val="0"/>
              <w:divBdr>
                <w:top w:val="none" w:sz="0" w:space="0" w:color="auto"/>
                <w:left w:val="none" w:sz="0" w:space="0" w:color="auto"/>
                <w:bottom w:val="none" w:sz="0" w:space="0" w:color="auto"/>
                <w:right w:val="none" w:sz="0" w:space="0" w:color="auto"/>
              </w:divBdr>
              <w:divsChild>
                <w:div w:id="11639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6468">
          <w:marLeft w:val="0"/>
          <w:marRight w:val="0"/>
          <w:marTop w:val="0"/>
          <w:marBottom w:val="0"/>
          <w:divBdr>
            <w:top w:val="none" w:sz="0" w:space="0" w:color="auto"/>
            <w:left w:val="none" w:sz="0" w:space="0" w:color="auto"/>
            <w:bottom w:val="none" w:sz="0" w:space="0" w:color="auto"/>
            <w:right w:val="none" w:sz="0" w:space="0" w:color="auto"/>
          </w:divBdr>
          <w:divsChild>
            <w:div w:id="756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0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dvance.lexis.com/document/documentlink/?pdmfid=1505209&amp;crid=ee70154f-cfc2-4685-ad2e-e229286af304&amp;pddocfullpath=%2Fshared%2Fdocument%2Fcases-ca%2Furn%3AcontentItem%3A5F81-VJT1-JK4W-M3XD-00000-00&amp;pdcontentcomponentid=280675&amp;pddoctitle=%5B1966%5D+2+O.R.+63&amp;pdproductcontenttypeid=urn%3Apct%3A221&amp;pdiskwicview=false&amp;ecomp=55f_k&amp;prid=6047b27e-ee09-4c06-b6b3-2fae7c3f4997" TargetMode="External"/><Relationship Id="rId12" Type="http://schemas.openxmlformats.org/officeDocument/2006/relationships/hyperlink" Target="https://advance.lexis.com/document/documentlink/?pdmfid=1505209&amp;crid=ee70154f-cfc2-4685-ad2e-e229286af304&amp;pddocfullpath=%2Fshared%2Fdocument%2Fcases-ca%2Furn%3AcontentItem%3A5F81-VJT1-JK4W-M3XD-00000-00&amp;pdcontentcomponentid=280675&amp;pddoctitle=%5B1966%5D+2+O.R.+63&amp;pdproductcontenttypeid=urn%3Apct%3A221&amp;pdiskwicview=false&amp;ecomp=55f_k&amp;prid=6047b27e-ee09-4c06-b6b3-2fae7c3f4997"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utschi@crimlawcanada.com" TargetMode="External"/><Relationship Id="rId10" Type="http://schemas.openxmlformats.org/officeDocument/2006/relationships/hyperlink" Target="mailto:smith@crimlawcanad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document/documentlink/?pdmfid=1505209&amp;crid=ee70154f-cfc2-4685-ad2e-e229286af304&amp;pddocfullpath=%2Fshared%2Fdocument%2Fcases-ca%2Furn%3AcontentItem%3A5F81-VJT1-JK4W-M3XD-00000-00&amp;pdcontentcomponentid=280675&amp;pddoctitle=%5B1966%5D+2+O.R.+63&amp;pdproductcontenttypeid=urn%3Apct%3A221&amp;pdiskwicview=false&amp;ecomp=55f_k&amp;prid=6047b27e-ee09-4c06-b6b3-2fae7c3f4997" TargetMode="External"/><Relationship Id="rId2" Type="http://schemas.openxmlformats.org/officeDocument/2006/relationships/hyperlink" Target="https://advance.lexis.com/document/documentlink/?pdmfid=1505209&amp;crid=ee70154f-cfc2-4685-ad2e-e229286af304&amp;pddocfullpath=%2Fshared%2Fdocument%2Fcases-ca%2Furn%3AcontentItem%3A5F81-VJT1-JK4W-M3XD-00000-00&amp;pdcontentcomponentid=280675&amp;pddoctitle=%5B1966%5D+2+O.R.+63&amp;pdproductcontenttypeid=urn%3Apct%3A221&amp;pdiskwicview=false&amp;ecomp=55f_k&amp;prid=6047b27e-ee09-4c06-b6b3-2fae7c3f4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3964-5421-A24F-9C30-92165BF0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21298</Words>
  <Characters>121399</Characters>
  <Application>Microsoft Macintosh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Ivory</dc:creator>
  <cp:keywords/>
  <dc:description/>
  <cp:lastModifiedBy>Brittany Smith</cp:lastModifiedBy>
  <cp:revision>3</cp:revision>
  <cp:lastPrinted>2019-02-11T17:54:00Z</cp:lastPrinted>
  <dcterms:created xsi:type="dcterms:W3CDTF">2019-02-15T19:33:00Z</dcterms:created>
  <dcterms:modified xsi:type="dcterms:W3CDTF">2019-02-15T19:33:00Z</dcterms:modified>
</cp:coreProperties>
</file>